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4ABDEE" w14:textId="77777777" w:rsidR="00FE13A1" w:rsidRDefault="00FE13A1" w:rsidP="00FE13A1">
      <w:pPr>
        <w:pStyle w:val="Heading2"/>
        <w:rPr>
          <w:rFonts w:ascii="DejaVu Sans" w:hAnsi="DejaVu Sans" w:cs="DejaVu Sans"/>
          <w:color w:val="2E74B5" w:themeColor="accent1" w:themeShade="BF"/>
          <w:sz w:val="72"/>
          <w:szCs w:val="72"/>
        </w:rPr>
      </w:pPr>
      <w:bookmarkStart w:id="0" w:name="_Preservation_and_administrative"/>
      <w:bookmarkStart w:id="1" w:name="_Toc455396618"/>
      <w:bookmarkStart w:id="2" w:name="_Toc455959217"/>
      <w:bookmarkStart w:id="3" w:name="_Toc458268958"/>
      <w:bookmarkEnd w:id="0"/>
      <w:r w:rsidRPr="00FE13A1">
        <w:rPr>
          <w:rFonts w:ascii="DejaVu Sans" w:hAnsi="DejaVu Sans" w:cs="DejaVu Sans"/>
          <w:color w:val="2E74B5" w:themeColor="accent1" w:themeShade="BF"/>
          <w:sz w:val="72"/>
          <w:szCs w:val="72"/>
        </w:rPr>
        <w:t>Australia’s simplified preservation laws</w:t>
      </w:r>
    </w:p>
    <w:p w14:paraId="1FD9B9C2" w14:textId="271A9616" w:rsidR="00FE13A1" w:rsidRPr="00FE13A1" w:rsidRDefault="00FE13A1" w:rsidP="00FE13A1">
      <w:pPr>
        <w:pStyle w:val="NormalWeb"/>
        <w:shd w:val="clear" w:color="auto" w:fill="FFFFFF"/>
        <w:spacing w:before="0" w:beforeAutospacing="0" w:after="340" w:afterAutospacing="0"/>
        <w:jc w:val="both"/>
        <w:rPr>
          <w:rFonts w:ascii="DejaVu Sans" w:eastAsia="Arial" w:hAnsi="DejaVu Sans" w:cs="DejaVu Sans"/>
          <w:color w:val="2E74B5" w:themeColor="accent1" w:themeShade="BF"/>
          <w:sz w:val="28"/>
          <w:szCs w:val="28"/>
          <w:lang w:val="en-US" w:eastAsia="en-US"/>
        </w:rPr>
      </w:pPr>
      <w:r w:rsidRPr="00FE13A1">
        <w:rPr>
          <w:rFonts w:ascii="DejaVu Sans" w:eastAsia="Arial" w:hAnsi="DejaVu Sans" w:cs="DejaVu Sans"/>
          <w:color w:val="2E74B5" w:themeColor="accent1" w:themeShade="BF"/>
          <w:sz w:val="28"/>
          <w:szCs w:val="28"/>
          <w:lang w:val="en-US" w:eastAsia="en-US"/>
        </w:rPr>
        <w:t xml:space="preserve">In </w:t>
      </w:r>
      <w:proofErr w:type="gramStart"/>
      <w:r w:rsidRPr="00FE13A1">
        <w:rPr>
          <w:rFonts w:ascii="DejaVu Sans" w:eastAsia="Arial" w:hAnsi="DejaVu Sans" w:cs="DejaVu Sans"/>
          <w:color w:val="2E74B5" w:themeColor="accent1" w:themeShade="BF"/>
          <w:sz w:val="28"/>
          <w:szCs w:val="28"/>
          <w:lang w:val="en-US" w:eastAsia="en-US"/>
        </w:rPr>
        <w:t>2017</w:t>
      </w:r>
      <w:proofErr w:type="gramEnd"/>
      <w:r w:rsidRPr="00FE13A1">
        <w:rPr>
          <w:rFonts w:ascii="DejaVu Sans" w:eastAsia="Arial" w:hAnsi="DejaVu Sans" w:cs="DejaVu Sans"/>
          <w:color w:val="2E74B5" w:themeColor="accent1" w:themeShade="BF"/>
          <w:sz w:val="28"/>
          <w:szCs w:val="28"/>
          <w:lang w:val="en-US" w:eastAsia="en-US"/>
        </w:rPr>
        <w:t xml:space="preserve"> the Australian government introduced major changes to the preservation provisions of the Australian Copyright Act, as part of the</w:t>
      </w:r>
      <w:hyperlink r:id="rId8" w:history="1">
        <w:r w:rsidRPr="00FE13A1">
          <w:rPr>
            <w:rFonts w:ascii="DejaVu Sans" w:eastAsia="Arial" w:hAnsi="DejaVu Sans" w:cs="DejaVu Sans"/>
            <w:color w:val="2E74B5" w:themeColor="accent1" w:themeShade="BF"/>
            <w:sz w:val="28"/>
            <w:szCs w:val="28"/>
            <w:u w:val="single"/>
            <w:lang w:val="en-US" w:eastAsia="en-US"/>
          </w:rPr>
          <w:t xml:space="preserve"> Copyright Amendment (Disability Access and Other Measures) Act 2017</w:t>
        </w:r>
      </w:hyperlink>
      <w:r w:rsidRPr="00FE13A1">
        <w:rPr>
          <w:rFonts w:ascii="DejaVu Sans" w:eastAsia="Arial" w:hAnsi="DejaVu Sans" w:cs="DejaVu Sans"/>
          <w:color w:val="2E74B5" w:themeColor="accent1" w:themeShade="BF"/>
          <w:sz w:val="28"/>
          <w:szCs w:val="28"/>
          <w:lang w:val="en-US" w:eastAsia="en-US"/>
        </w:rPr>
        <w:t>. These changes, which came into effect on 22 December 2017, essentially “fix” Australia’s preservation provisions, which had previously been confusing and paradoxical. The new provisions r</w:t>
      </w:r>
      <w:r w:rsidR="0073177E">
        <w:rPr>
          <w:rFonts w:ascii="DejaVu Sans" w:eastAsia="Arial" w:hAnsi="DejaVu Sans" w:cs="DejaVu Sans"/>
          <w:color w:val="2E74B5" w:themeColor="accent1" w:themeShade="BF"/>
          <w:sz w:val="28"/>
          <w:szCs w:val="28"/>
          <w:lang w:val="en-US" w:eastAsia="en-US"/>
        </w:rPr>
        <w:t>emove almost all limit</w:t>
      </w:r>
      <w:r w:rsidRPr="00FE13A1">
        <w:rPr>
          <w:rFonts w:ascii="DejaVu Sans" w:eastAsia="Arial" w:hAnsi="DejaVu Sans" w:cs="DejaVu Sans"/>
          <w:color w:val="2E74B5" w:themeColor="accent1" w:themeShade="BF"/>
          <w:sz w:val="28"/>
          <w:szCs w:val="28"/>
          <w:lang w:val="en-US" w:eastAsia="en-US"/>
        </w:rPr>
        <w:t xml:space="preserve">s on preservation of collection material, allowing </w:t>
      </w:r>
      <w:hyperlink r:id="rId9" w:history="1">
        <w:r w:rsidRPr="00FE13A1">
          <w:rPr>
            <w:rFonts w:ascii="DejaVu Sans" w:eastAsia="Arial" w:hAnsi="DejaVu Sans" w:cs="DejaVu Sans"/>
            <w:color w:val="2E74B5" w:themeColor="accent1" w:themeShade="BF"/>
            <w:sz w:val="28"/>
            <w:szCs w:val="28"/>
            <w:u w:val="single"/>
            <w:lang w:val="en-US" w:eastAsia="en-US"/>
          </w:rPr>
          <w:t>international best practice preservation</w:t>
        </w:r>
      </w:hyperlink>
      <w:r w:rsidRPr="00FE13A1">
        <w:rPr>
          <w:rFonts w:ascii="DejaVu Sans" w:eastAsia="Arial" w:hAnsi="DejaVu Sans" w:cs="DejaVu Sans"/>
          <w:color w:val="2E74B5" w:themeColor="accent1" w:themeShade="BF"/>
          <w:sz w:val="28"/>
          <w:szCs w:val="28"/>
          <w:lang w:val="en-US" w:eastAsia="en-US"/>
        </w:rPr>
        <w:t>.</w:t>
      </w:r>
    </w:p>
    <w:p w14:paraId="3BB02DE1" w14:textId="77777777" w:rsidR="00FE13A1" w:rsidRPr="00FE13A1" w:rsidRDefault="00FE13A1" w:rsidP="0073177E">
      <w:pPr>
        <w:shd w:val="clear" w:color="auto" w:fill="FFFFFF"/>
        <w:spacing w:after="340"/>
        <w:jc w:val="both"/>
        <w:rPr>
          <w:rFonts w:ascii="DejaVu Sans" w:hAnsi="DejaVu Sans" w:cs="DejaVu Sans"/>
          <w:sz w:val="24"/>
          <w:szCs w:val="24"/>
        </w:rPr>
      </w:pPr>
      <w:r w:rsidRPr="00FE13A1">
        <w:rPr>
          <w:rFonts w:ascii="DejaVu Sans" w:hAnsi="DejaVu Sans" w:cs="DejaVu Sans"/>
          <w:sz w:val="24"/>
          <w:szCs w:val="24"/>
        </w:rPr>
        <w:t xml:space="preserve">Prior to the 2017 changes, Australian libraries and archives were only able to make preservation copies of works in their collection materials in certain circumstances. Copyright law limited the number of copies they could create, the format these copies could be in and, worst of all, only allowed published and </w:t>
      </w:r>
      <w:proofErr w:type="spellStart"/>
      <w:r w:rsidRPr="00FE13A1">
        <w:rPr>
          <w:rFonts w:ascii="DejaVu Sans" w:hAnsi="DejaVu Sans" w:cs="DejaVu Sans"/>
          <w:sz w:val="24"/>
          <w:szCs w:val="24"/>
        </w:rPr>
        <w:t>audiovisual</w:t>
      </w:r>
      <w:proofErr w:type="spellEnd"/>
      <w:r w:rsidRPr="00FE13A1">
        <w:rPr>
          <w:rFonts w:ascii="DejaVu Sans" w:hAnsi="DejaVu Sans" w:cs="DejaVu Sans"/>
          <w:sz w:val="24"/>
          <w:szCs w:val="24"/>
        </w:rPr>
        <w:t xml:space="preserve"> materials to </w:t>
      </w:r>
      <w:proofErr w:type="gramStart"/>
      <w:r w:rsidRPr="00FE13A1">
        <w:rPr>
          <w:rFonts w:ascii="DejaVu Sans" w:hAnsi="DejaVu Sans" w:cs="DejaVu Sans"/>
          <w:sz w:val="24"/>
          <w:szCs w:val="24"/>
        </w:rPr>
        <w:t>be preserved</w:t>
      </w:r>
      <w:proofErr w:type="gramEnd"/>
      <w:r w:rsidRPr="00FE13A1">
        <w:rPr>
          <w:rFonts w:ascii="DejaVu Sans" w:hAnsi="DejaVu Sans" w:cs="DejaVu Sans"/>
          <w:sz w:val="24"/>
          <w:szCs w:val="24"/>
        </w:rPr>
        <w:t xml:space="preserve"> after the work had already deteriorated or been lost. </w:t>
      </w:r>
    </w:p>
    <w:bookmarkEnd w:id="1"/>
    <w:bookmarkEnd w:id="2"/>
    <w:bookmarkEnd w:id="3"/>
    <w:p w14:paraId="1098C26B" w14:textId="6B5B2F3D" w:rsidR="00D061EA" w:rsidRPr="00013BA0" w:rsidRDefault="00FE13A1" w:rsidP="00F90FA1">
      <w:pPr>
        <w:pStyle w:val="Heading2"/>
        <w:jc w:val="both"/>
        <w:rPr>
          <w:rFonts w:ascii="DejaVu Sans" w:hAnsi="DejaVu Sans" w:cs="DejaVu Sans"/>
        </w:rPr>
      </w:pPr>
      <w:r>
        <w:rPr>
          <w:rFonts w:ascii="DejaVu Sans" w:hAnsi="DejaVu Sans" w:cs="DejaVu Sans"/>
          <w:color w:val="2E74B5" w:themeColor="accent1" w:themeShade="BF"/>
        </w:rPr>
        <w:t>New preservation exception</w:t>
      </w:r>
    </w:p>
    <w:p w14:paraId="6170BD70" w14:textId="77777777" w:rsidR="00FE13A1" w:rsidRPr="00FE13A1" w:rsidRDefault="00FE13A1" w:rsidP="00FE13A1">
      <w:pPr>
        <w:jc w:val="both"/>
        <w:rPr>
          <w:rFonts w:ascii="DejaVu Sans" w:hAnsi="DejaVu Sans" w:cs="DejaVu Sans"/>
          <w:sz w:val="24"/>
          <w:szCs w:val="24"/>
        </w:rPr>
      </w:pPr>
      <w:r w:rsidRPr="00FE13A1">
        <w:rPr>
          <w:rFonts w:ascii="DejaVu Sans" w:hAnsi="DejaVu Sans" w:cs="DejaVu Sans"/>
          <w:sz w:val="24"/>
          <w:szCs w:val="24"/>
        </w:rPr>
        <w:t xml:space="preserve">The 2017 copyright changes fix this problem by replacing the previous preservation provisions (old ss51A and 110B) with a single new exception (s113H) that is broad, simple and allows international best practice preservation practices. </w:t>
      </w:r>
    </w:p>
    <w:p w14:paraId="1FFD671A" w14:textId="77777777" w:rsidR="0073177E" w:rsidRDefault="0073177E" w:rsidP="00FE13A1">
      <w:pPr>
        <w:jc w:val="both"/>
        <w:rPr>
          <w:rFonts w:ascii="DejaVu Sans" w:hAnsi="DejaVu Sans" w:cs="DejaVu Sans"/>
          <w:sz w:val="24"/>
          <w:szCs w:val="24"/>
        </w:rPr>
      </w:pPr>
    </w:p>
    <w:p w14:paraId="3D205FE8" w14:textId="10CC0035" w:rsidR="00FE13A1" w:rsidRPr="00FE13A1" w:rsidRDefault="00FE13A1" w:rsidP="00FE13A1">
      <w:pPr>
        <w:jc w:val="both"/>
        <w:rPr>
          <w:rFonts w:ascii="DejaVu Sans" w:hAnsi="DejaVu Sans" w:cs="DejaVu Sans"/>
          <w:sz w:val="24"/>
          <w:szCs w:val="24"/>
        </w:rPr>
      </w:pPr>
      <w:r w:rsidRPr="00FE13A1">
        <w:rPr>
          <w:rFonts w:ascii="DejaVu Sans" w:hAnsi="DejaVu Sans" w:cs="DejaVu Sans"/>
          <w:sz w:val="24"/>
          <w:szCs w:val="24"/>
        </w:rPr>
        <w:t xml:space="preserve">This exception essentially allows library officers to do anything </w:t>
      </w:r>
      <w:proofErr w:type="gramStart"/>
      <w:r w:rsidRPr="00FE13A1">
        <w:rPr>
          <w:rFonts w:ascii="DejaVu Sans" w:hAnsi="DejaVu Sans" w:cs="DejaVu Sans"/>
          <w:sz w:val="24"/>
          <w:szCs w:val="24"/>
        </w:rPr>
        <w:t>for the purpose of</w:t>
      </w:r>
      <w:proofErr w:type="gramEnd"/>
      <w:r w:rsidRPr="00FE13A1">
        <w:rPr>
          <w:rFonts w:ascii="DejaVu Sans" w:hAnsi="DejaVu Sans" w:cs="DejaVu Sans"/>
          <w:sz w:val="24"/>
          <w:szCs w:val="24"/>
        </w:rPr>
        <w:t xml:space="preserve"> preserving a collection. There are no limits on:</w:t>
      </w:r>
    </w:p>
    <w:p w14:paraId="1E0C288A" w14:textId="77777777" w:rsidR="00FE13A1" w:rsidRPr="00FE13A1" w:rsidRDefault="00FE13A1" w:rsidP="00FE13A1">
      <w:pPr>
        <w:pStyle w:val="ListParagraph"/>
        <w:numPr>
          <w:ilvl w:val="0"/>
          <w:numId w:val="3"/>
        </w:numPr>
        <w:ind w:left="360"/>
        <w:jc w:val="both"/>
        <w:rPr>
          <w:rFonts w:ascii="DejaVu Sans" w:hAnsi="DejaVu Sans" w:cs="DejaVu Sans"/>
          <w:sz w:val="24"/>
          <w:szCs w:val="24"/>
        </w:rPr>
      </w:pPr>
      <w:proofErr w:type="gramStart"/>
      <w:r w:rsidRPr="00FE13A1">
        <w:rPr>
          <w:rFonts w:ascii="DejaVu Sans" w:hAnsi="DejaVu Sans" w:cs="DejaVu Sans"/>
          <w:sz w:val="24"/>
          <w:szCs w:val="24"/>
        </w:rPr>
        <w:t>the</w:t>
      </w:r>
      <w:proofErr w:type="gramEnd"/>
      <w:r w:rsidRPr="00FE13A1">
        <w:rPr>
          <w:rFonts w:ascii="DejaVu Sans" w:hAnsi="DejaVu Sans" w:cs="DejaVu Sans"/>
          <w:sz w:val="24"/>
          <w:szCs w:val="24"/>
        </w:rPr>
        <w:t xml:space="preserve"> activity - copying, emailing to others, posting to cloud services </w:t>
      </w:r>
      <w:proofErr w:type="spellStart"/>
      <w:r w:rsidRPr="00FE13A1">
        <w:rPr>
          <w:rFonts w:ascii="DejaVu Sans" w:hAnsi="DejaVu Sans" w:cs="DejaVu Sans"/>
          <w:sz w:val="24"/>
          <w:szCs w:val="24"/>
        </w:rPr>
        <w:t>etc</w:t>
      </w:r>
      <w:proofErr w:type="spellEnd"/>
      <w:r w:rsidRPr="00FE13A1">
        <w:rPr>
          <w:rFonts w:ascii="DejaVu Sans" w:hAnsi="DejaVu Sans" w:cs="DejaVu Sans"/>
          <w:sz w:val="24"/>
          <w:szCs w:val="24"/>
        </w:rPr>
        <w:t xml:space="preserve"> are all permitted as long as they are for the purpose of preservation;</w:t>
      </w:r>
    </w:p>
    <w:p w14:paraId="537C0721" w14:textId="77777777" w:rsidR="00FE13A1" w:rsidRPr="00FE13A1" w:rsidRDefault="00FE13A1" w:rsidP="00FE13A1">
      <w:pPr>
        <w:pStyle w:val="ListParagraph"/>
        <w:numPr>
          <w:ilvl w:val="0"/>
          <w:numId w:val="3"/>
        </w:numPr>
        <w:ind w:left="360"/>
        <w:jc w:val="both"/>
        <w:rPr>
          <w:rFonts w:ascii="DejaVu Sans" w:hAnsi="DejaVu Sans" w:cs="DejaVu Sans"/>
          <w:sz w:val="24"/>
          <w:szCs w:val="24"/>
        </w:rPr>
      </w:pPr>
      <w:r w:rsidRPr="00FE13A1">
        <w:rPr>
          <w:rFonts w:ascii="DejaVu Sans" w:hAnsi="DejaVu Sans" w:cs="DejaVu Sans"/>
          <w:sz w:val="24"/>
          <w:szCs w:val="24"/>
        </w:rPr>
        <w:t xml:space="preserve">the material - the same rules apply no matter what it is you are preserving, be it a book or an audiovisual work, published or unpublished, old or new </w:t>
      </w:r>
      <w:proofErr w:type="spellStart"/>
      <w:r w:rsidRPr="00FE13A1">
        <w:rPr>
          <w:rFonts w:ascii="DejaVu Sans" w:hAnsi="DejaVu Sans" w:cs="DejaVu Sans"/>
          <w:sz w:val="24"/>
          <w:szCs w:val="24"/>
        </w:rPr>
        <w:t>etc</w:t>
      </w:r>
      <w:proofErr w:type="spellEnd"/>
      <w:r w:rsidRPr="00FE13A1">
        <w:rPr>
          <w:rFonts w:ascii="DejaVu Sans" w:hAnsi="DejaVu Sans" w:cs="DejaVu Sans"/>
          <w:sz w:val="24"/>
          <w:szCs w:val="24"/>
        </w:rPr>
        <w:t>;</w:t>
      </w:r>
    </w:p>
    <w:p w14:paraId="582A6463" w14:textId="4D90E579" w:rsidR="00FE13A1" w:rsidRPr="00FE13A1" w:rsidRDefault="0073177E" w:rsidP="00FE13A1">
      <w:pPr>
        <w:pStyle w:val="ListParagraph"/>
        <w:numPr>
          <w:ilvl w:val="0"/>
          <w:numId w:val="3"/>
        </w:numPr>
        <w:ind w:left="360"/>
        <w:jc w:val="both"/>
        <w:rPr>
          <w:rFonts w:ascii="DejaVu Sans" w:hAnsi="DejaVu Sans" w:cs="DejaVu Sans"/>
          <w:sz w:val="24"/>
          <w:szCs w:val="24"/>
        </w:rPr>
      </w:pPr>
      <w:r>
        <w:rPr>
          <w:rFonts w:ascii="DejaVu Sans" w:hAnsi="DejaVu Sans" w:cs="DejaVu Sans"/>
          <w:sz w:val="24"/>
          <w:szCs w:val="24"/>
        </w:rPr>
        <w:t>t</w:t>
      </w:r>
      <w:r w:rsidR="00FE13A1" w:rsidRPr="00FE13A1">
        <w:rPr>
          <w:rFonts w:ascii="DejaVu Sans" w:hAnsi="DejaVu Sans" w:cs="DejaVu Sans"/>
          <w:sz w:val="24"/>
          <w:szCs w:val="24"/>
        </w:rPr>
        <w:t>he format - materials can be copied into the same format, or transferred into one or several other formats, in line with your preservation policy;</w:t>
      </w:r>
    </w:p>
    <w:p w14:paraId="6D5A1D47" w14:textId="015A5C4D" w:rsidR="00FE13A1" w:rsidRPr="00FE13A1" w:rsidRDefault="0073177E" w:rsidP="00FE13A1">
      <w:pPr>
        <w:pStyle w:val="ListParagraph"/>
        <w:numPr>
          <w:ilvl w:val="0"/>
          <w:numId w:val="3"/>
        </w:numPr>
        <w:ind w:left="360"/>
        <w:jc w:val="both"/>
        <w:rPr>
          <w:rFonts w:ascii="DejaVu Sans" w:hAnsi="DejaVu Sans" w:cs="DejaVu Sans"/>
          <w:sz w:val="24"/>
          <w:szCs w:val="24"/>
        </w:rPr>
      </w:pPr>
      <w:r>
        <w:rPr>
          <w:rFonts w:ascii="DejaVu Sans" w:hAnsi="DejaVu Sans" w:cs="DejaVu Sans"/>
          <w:sz w:val="24"/>
          <w:szCs w:val="24"/>
        </w:rPr>
        <w:t>t</w:t>
      </w:r>
      <w:r w:rsidR="00FE13A1" w:rsidRPr="00FE13A1">
        <w:rPr>
          <w:rFonts w:ascii="DejaVu Sans" w:hAnsi="DejaVu Sans" w:cs="DejaVu Sans"/>
          <w:sz w:val="24"/>
          <w:szCs w:val="24"/>
        </w:rPr>
        <w:t>he number of copies - multiple copies in multiple formats can now be made, in line with preservation practices;</w:t>
      </w:r>
    </w:p>
    <w:p w14:paraId="35221B8A" w14:textId="0BB07402" w:rsidR="00FE13A1" w:rsidRPr="00FE13A1" w:rsidRDefault="0073177E" w:rsidP="00FE13A1">
      <w:pPr>
        <w:pStyle w:val="ListParagraph"/>
        <w:numPr>
          <w:ilvl w:val="0"/>
          <w:numId w:val="3"/>
        </w:numPr>
        <w:ind w:left="360"/>
        <w:jc w:val="both"/>
        <w:rPr>
          <w:rFonts w:ascii="DejaVu Sans" w:hAnsi="DejaVu Sans" w:cs="DejaVu Sans"/>
          <w:sz w:val="24"/>
          <w:szCs w:val="24"/>
        </w:rPr>
      </w:pPr>
      <w:proofErr w:type="gramStart"/>
      <w:r>
        <w:rPr>
          <w:rFonts w:ascii="DejaVu Sans" w:hAnsi="DejaVu Sans" w:cs="DejaVu Sans"/>
          <w:sz w:val="24"/>
          <w:szCs w:val="24"/>
        </w:rPr>
        <w:t>a</w:t>
      </w:r>
      <w:r w:rsidR="00FE13A1" w:rsidRPr="00FE13A1">
        <w:rPr>
          <w:rFonts w:ascii="DejaVu Sans" w:hAnsi="DejaVu Sans" w:cs="DejaVu Sans"/>
          <w:sz w:val="24"/>
          <w:szCs w:val="24"/>
        </w:rPr>
        <w:t>ny</w:t>
      </w:r>
      <w:proofErr w:type="gramEnd"/>
      <w:r w:rsidR="00FE13A1" w:rsidRPr="00FE13A1">
        <w:rPr>
          <w:rFonts w:ascii="DejaVu Sans" w:hAnsi="DejaVu Sans" w:cs="DejaVu Sans"/>
          <w:sz w:val="24"/>
          <w:szCs w:val="24"/>
        </w:rPr>
        <w:t xml:space="preserve"> library officer - the exception allows library officers to preserve the collection of other institutions, enabling those with specialist equipment to do the work on behalf of others. </w:t>
      </w:r>
    </w:p>
    <w:p w14:paraId="5E2CC29C" w14:textId="77777777" w:rsidR="00FE13A1" w:rsidRDefault="00FE13A1" w:rsidP="00FE13A1">
      <w:pPr>
        <w:jc w:val="both"/>
        <w:rPr>
          <w:rFonts w:ascii="DejaVu Sans" w:hAnsi="DejaVu Sans" w:cs="DejaVu Sans"/>
          <w:sz w:val="24"/>
          <w:szCs w:val="24"/>
        </w:rPr>
      </w:pPr>
    </w:p>
    <w:p w14:paraId="2655952F" w14:textId="1FC39D47" w:rsidR="00FE13A1" w:rsidRDefault="00FE13A1" w:rsidP="00FE13A1">
      <w:pPr>
        <w:jc w:val="both"/>
        <w:rPr>
          <w:rFonts w:ascii="DejaVu Sans" w:hAnsi="DejaVu Sans" w:cs="DejaVu Sans"/>
          <w:sz w:val="24"/>
          <w:szCs w:val="24"/>
        </w:rPr>
      </w:pPr>
      <w:r>
        <w:rPr>
          <w:rFonts w:ascii="DejaVu Sans" w:hAnsi="DejaVu Sans" w:cs="DejaVu Sans"/>
          <w:sz w:val="24"/>
          <w:szCs w:val="24"/>
        </w:rPr>
        <w:t>T</w:t>
      </w:r>
      <w:r w:rsidRPr="00FE13A1">
        <w:rPr>
          <w:rFonts w:ascii="DejaVu Sans" w:hAnsi="DejaVu Sans" w:cs="DejaVu Sans"/>
          <w:sz w:val="24"/>
          <w:szCs w:val="24"/>
        </w:rPr>
        <w:t xml:space="preserve">he </w:t>
      </w:r>
      <w:r>
        <w:rPr>
          <w:rFonts w:ascii="DejaVu Sans" w:hAnsi="DejaVu Sans" w:cs="DejaVu Sans"/>
          <w:sz w:val="24"/>
          <w:szCs w:val="24"/>
        </w:rPr>
        <w:t xml:space="preserve">government also </w:t>
      </w:r>
      <w:r w:rsidR="0073177E">
        <w:rPr>
          <w:rFonts w:ascii="DejaVu Sans" w:hAnsi="DejaVu Sans" w:cs="DejaVu Sans"/>
          <w:sz w:val="24"/>
          <w:szCs w:val="24"/>
        </w:rPr>
        <w:t>makes</w:t>
      </w:r>
      <w:r>
        <w:rPr>
          <w:rFonts w:ascii="DejaVu Sans" w:hAnsi="DejaVu Sans" w:cs="DejaVu Sans"/>
          <w:sz w:val="24"/>
          <w:szCs w:val="24"/>
        </w:rPr>
        <w:t xml:space="preserve"> it clear (in the </w:t>
      </w:r>
      <w:hyperlink r:id="rId10" w:history="1">
        <w:r w:rsidRPr="00FE13A1">
          <w:rPr>
            <w:rStyle w:val="Hyperlink"/>
            <w:rFonts w:ascii="DejaVu Sans" w:hAnsi="DejaVu Sans" w:cs="DejaVu Sans"/>
            <w:sz w:val="24"/>
            <w:szCs w:val="24"/>
          </w:rPr>
          <w:t>Explanatory Memorandum</w:t>
        </w:r>
      </w:hyperlink>
      <w:r>
        <w:rPr>
          <w:rFonts w:ascii="DejaVu Sans" w:hAnsi="DejaVu Sans" w:cs="DejaVu Sans"/>
          <w:sz w:val="24"/>
          <w:szCs w:val="24"/>
        </w:rPr>
        <w:t>)</w:t>
      </w:r>
      <w:r w:rsidRPr="00FE13A1">
        <w:rPr>
          <w:rFonts w:ascii="DejaVu Sans" w:hAnsi="DejaVu Sans" w:cs="DejaVu Sans"/>
          <w:sz w:val="24"/>
          <w:szCs w:val="24"/>
        </w:rPr>
        <w:t xml:space="preserve"> that</w:t>
      </w:r>
      <w:r>
        <w:rPr>
          <w:rFonts w:ascii="DejaVu Sans" w:hAnsi="DejaVu Sans" w:cs="DejaVu Sans"/>
          <w:sz w:val="24"/>
          <w:szCs w:val="24"/>
        </w:rPr>
        <w:t>:</w:t>
      </w:r>
    </w:p>
    <w:p w14:paraId="16E293F5" w14:textId="4A4B188A" w:rsidR="00FE13A1" w:rsidRDefault="00FE13A1" w:rsidP="00FE13A1">
      <w:pPr>
        <w:pStyle w:val="ListParagraph"/>
        <w:numPr>
          <w:ilvl w:val="0"/>
          <w:numId w:val="3"/>
        </w:numPr>
        <w:ind w:left="360"/>
        <w:jc w:val="both"/>
        <w:rPr>
          <w:rFonts w:ascii="DejaVu Sans" w:hAnsi="DejaVu Sans" w:cs="DejaVu Sans"/>
          <w:sz w:val="24"/>
          <w:szCs w:val="24"/>
        </w:rPr>
      </w:pPr>
      <w:proofErr w:type="gramStart"/>
      <w:r w:rsidRPr="00FE13A1">
        <w:rPr>
          <w:rFonts w:ascii="DejaVu Sans" w:hAnsi="DejaVu Sans" w:cs="DejaVu Sans"/>
          <w:sz w:val="24"/>
          <w:szCs w:val="24"/>
        </w:rPr>
        <w:t>point</w:t>
      </w:r>
      <w:proofErr w:type="gramEnd"/>
      <w:r w:rsidRPr="00FE13A1">
        <w:rPr>
          <w:rFonts w:ascii="DejaVu Sans" w:hAnsi="DejaVu Sans" w:cs="DejaVu Sans"/>
          <w:sz w:val="24"/>
          <w:szCs w:val="24"/>
        </w:rPr>
        <w:t xml:space="preserve"> of purchase copying is permitted under the exception - so you do not have to wait for the material to become “old” or deteriorate before you can preserve it. As long as you </w:t>
      </w:r>
      <w:proofErr w:type="gramStart"/>
      <w:r w:rsidRPr="00FE13A1">
        <w:rPr>
          <w:rFonts w:ascii="DejaVu Sans" w:hAnsi="DejaVu Sans" w:cs="DejaVu Sans"/>
          <w:sz w:val="24"/>
          <w:szCs w:val="24"/>
        </w:rPr>
        <w:t>cannot at that time obtain</w:t>
      </w:r>
      <w:proofErr w:type="gramEnd"/>
      <w:r w:rsidRPr="00FE13A1">
        <w:rPr>
          <w:rFonts w:ascii="DejaVu Sans" w:hAnsi="DejaVu Sans" w:cs="DejaVu Sans"/>
          <w:sz w:val="24"/>
          <w:szCs w:val="24"/>
        </w:rPr>
        <w:t xml:space="preserve"> the material in the preservation format you need, you can preserve the material the moment it enters your collection.</w:t>
      </w:r>
    </w:p>
    <w:p w14:paraId="4ED2114D" w14:textId="10005E30" w:rsidR="00FE13A1" w:rsidRDefault="00FE13A1" w:rsidP="00FE13A1">
      <w:pPr>
        <w:pStyle w:val="ListParagraph"/>
        <w:numPr>
          <w:ilvl w:val="0"/>
          <w:numId w:val="3"/>
        </w:numPr>
        <w:ind w:left="360"/>
        <w:jc w:val="both"/>
        <w:rPr>
          <w:rFonts w:ascii="DejaVu Sans" w:hAnsi="DejaVu Sans" w:cs="DejaVu Sans"/>
          <w:sz w:val="24"/>
          <w:szCs w:val="24"/>
        </w:rPr>
      </w:pPr>
      <w:proofErr w:type="gramStart"/>
      <w:r>
        <w:rPr>
          <w:rFonts w:ascii="DejaVu Sans" w:hAnsi="DejaVu Sans" w:cs="DejaVu Sans"/>
          <w:sz w:val="24"/>
          <w:szCs w:val="24"/>
        </w:rPr>
        <w:t>t</w:t>
      </w:r>
      <w:r w:rsidRPr="00FE13A1">
        <w:rPr>
          <w:rFonts w:ascii="DejaVu Sans" w:hAnsi="DejaVu Sans" w:cs="DejaVu Sans"/>
          <w:sz w:val="24"/>
          <w:szCs w:val="24"/>
        </w:rPr>
        <w:t>he</w:t>
      </w:r>
      <w:proofErr w:type="gramEnd"/>
      <w:r w:rsidRPr="00FE13A1">
        <w:rPr>
          <w:rFonts w:ascii="DejaVu Sans" w:hAnsi="DejaVu Sans" w:cs="DejaVu Sans"/>
          <w:sz w:val="24"/>
          <w:szCs w:val="24"/>
        </w:rPr>
        <w:t xml:space="preserve"> exception also doesn’t require the library or archive to continue to hold the source material </w:t>
      </w:r>
      <w:r>
        <w:rPr>
          <w:rFonts w:ascii="DejaVu Sans" w:hAnsi="DejaVu Sans" w:cs="DejaVu Sans"/>
          <w:sz w:val="24"/>
          <w:szCs w:val="24"/>
        </w:rPr>
        <w:t>-</w:t>
      </w:r>
      <w:r w:rsidRPr="00FE13A1">
        <w:rPr>
          <w:rFonts w:ascii="DejaVu Sans" w:hAnsi="DejaVu Sans" w:cs="DejaVu Sans"/>
          <w:sz w:val="24"/>
          <w:szCs w:val="24"/>
        </w:rPr>
        <w:t xml:space="preserve"> </w:t>
      </w:r>
      <w:r>
        <w:rPr>
          <w:rFonts w:ascii="DejaVu Sans" w:hAnsi="DejaVu Sans" w:cs="DejaVu Sans"/>
          <w:sz w:val="24"/>
          <w:szCs w:val="24"/>
        </w:rPr>
        <w:t>this</w:t>
      </w:r>
      <w:r w:rsidRPr="00FE13A1">
        <w:rPr>
          <w:rFonts w:ascii="DejaVu Sans" w:hAnsi="DejaVu Sans" w:cs="DejaVu Sans"/>
          <w:sz w:val="24"/>
          <w:szCs w:val="24"/>
        </w:rPr>
        <w:t xml:space="preserve"> acknowledges that there might be circumstances in which it is appropriate to destroy the original copy, for example due to cost of storage or safety concerns.</w:t>
      </w:r>
      <w:r>
        <w:rPr>
          <w:rFonts w:ascii="DejaVu Sans" w:hAnsi="DejaVu Sans" w:cs="DejaVu Sans"/>
          <w:sz w:val="24"/>
          <w:szCs w:val="24"/>
        </w:rPr>
        <w:t xml:space="preserve"> </w:t>
      </w:r>
    </w:p>
    <w:p w14:paraId="50305D39" w14:textId="632EB391" w:rsidR="00FE13A1" w:rsidRPr="00FE13A1" w:rsidRDefault="00FE13A1" w:rsidP="00FE13A1">
      <w:pPr>
        <w:pStyle w:val="Heading2"/>
        <w:jc w:val="both"/>
        <w:rPr>
          <w:rFonts w:ascii="DejaVu Sans" w:hAnsi="DejaVu Sans" w:cs="DejaVu Sans"/>
          <w:color w:val="2E74B5" w:themeColor="accent1" w:themeShade="BF"/>
        </w:rPr>
      </w:pPr>
      <w:r w:rsidRPr="00FE13A1">
        <w:rPr>
          <w:rFonts w:ascii="DejaVu Sans" w:hAnsi="DejaVu Sans" w:cs="DejaVu Sans"/>
          <w:color w:val="2E74B5" w:themeColor="accent1" w:themeShade="BF"/>
        </w:rPr>
        <w:t>Limitation – obtaining a new copy</w:t>
      </w:r>
    </w:p>
    <w:p w14:paraId="680C71A9" w14:textId="669337B3" w:rsidR="00765E38" w:rsidRDefault="00FE13A1" w:rsidP="00FE13A1">
      <w:pPr>
        <w:jc w:val="both"/>
        <w:rPr>
          <w:rFonts w:ascii="DejaVu Sans" w:hAnsi="DejaVu Sans" w:cs="DejaVu Sans"/>
          <w:sz w:val="24"/>
          <w:szCs w:val="24"/>
        </w:rPr>
      </w:pPr>
      <w:r w:rsidRPr="00FE13A1">
        <w:rPr>
          <w:rFonts w:ascii="DejaVu Sans" w:hAnsi="DejaVu Sans" w:cs="DejaVu Sans"/>
          <w:sz w:val="24"/>
          <w:szCs w:val="24"/>
        </w:rPr>
        <w:t xml:space="preserve">The only significant limit in the exception is </w:t>
      </w:r>
      <w:r>
        <w:rPr>
          <w:rFonts w:ascii="DejaVu Sans" w:hAnsi="DejaVu Sans" w:cs="DejaVu Sans"/>
          <w:sz w:val="24"/>
          <w:szCs w:val="24"/>
        </w:rPr>
        <w:t>that, b</w:t>
      </w:r>
      <w:r w:rsidRPr="00FE13A1">
        <w:rPr>
          <w:rFonts w:ascii="DejaVu Sans" w:hAnsi="DejaVu Sans" w:cs="DejaVu Sans"/>
          <w:sz w:val="24"/>
          <w:szCs w:val="24"/>
        </w:rPr>
        <w:t xml:space="preserve">efore preserving published material, </w:t>
      </w:r>
      <w:r w:rsidR="0073177E">
        <w:rPr>
          <w:rFonts w:ascii="DejaVu Sans" w:hAnsi="DejaVu Sans" w:cs="DejaVu Sans"/>
          <w:sz w:val="24"/>
          <w:szCs w:val="24"/>
        </w:rPr>
        <w:t>the</w:t>
      </w:r>
      <w:r w:rsidRPr="00FE13A1">
        <w:rPr>
          <w:rFonts w:ascii="DejaVu Sans" w:hAnsi="DejaVu Sans" w:cs="DejaVu Sans"/>
          <w:sz w:val="24"/>
          <w:szCs w:val="24"/>
        </w:rPr>
        <w:t xml:space="preserve"> library officer must be satisfied that a copy cannot </w:t>
      </w:r>
      <w:r w:rsidR="00765E38">
        <w:rPr>
          <w:rFonts w:ascii="DejaVu Sans" w:hAnsi="DejaVu Sans" w:cs="DejaVu Sans"/>
          <w:sz w:val="24"/>
          <w:szCs w:val="24"/>
        </w:rPr>
        <w:t xml:space="preserve">otherwise </w:t>
      </w:r>
      <w:r w:rsidRPr="00FE13A1">
        <w:rPr>
          <w:rFonts w:ascii="DejaVu Sans" w:hAnsi="DejaVu Sans" w:cs="DejaVu Sans"/>
          <w:sz w:val="24"/>
          <w:szCs w:val="24"/>
        </w:rPr>
        <w:t xml:space="preserve">be obtained in the format needed, consistent with preservation best practice. </w:t>
      </w:r>
      <w:r w:rsidR="0073177E">
        <w:rPr>
          <w:rFonts w:ascii="DejaVu Sans" w:hAnsi="DejaVu Sans" w:cs="DejaVu Sans"/>
          <w:sz w:val="24"/>
          <w:szCs w:val="24"/>
        </w:rPr>
        <w:t xml:space="preserve">For example, if you can purchase a copy in the format you need </w:t>
      </w:r>
      <w:r w:rsidR="00765E38">
        <w:rPr>
          <w:rFonts w:ascii="DejaVu Sans" w:hAnsi="DejaVu Sans" w:cs="DejaVu Sans"/>
          <w:sz w:val="24"/>
          <w:szCs w:val="24"/>
        </w:rPr>
        <w:t>from a commercial vendor</w:t>
      </w:r>
      <w:r w:rsidR="0073177E">
        <w:rPr>
          <w:rFonts w:ascii="DejaVu Sans" w:hAnsi="DejaVu Sans" w:cs="DejaVu Sans"/>
          <w:sz w:val="24"/>
          <w:szCs w:val="24"/>
        </w:rPr>
        <w:t>, you should do this rather than creating your own copy</w:t>
      </w:r>
      <w:r w:rsidR="00765E38">
        <w:rPr>
          <w:rFonts w:ascii="DejaVu Sans" w:hAnsi="DejaVu Sans" w:cs="DejaVu Sans"/>
          <w:sz w:val="24"/>
          <w:szCs w:val="24"/>
        </w:rPr>
        <w:t>.</w:t>
      </w:r>
    </w:p>
    <w:p w14:paraId="5E0DC85C" w14:textId="77777777" w:rsidR="00765E38" w:rsidRDefault="00765E38" w:rsidP="00FE13A1">
      <w:pPr>
        <w:jc w:val="both"/>
        <w:rPr>
          <w:rFonts w:ascii="DejaVu Sans" w:hAnsi="DejaVu Sans" w:cs="DejaVu Sans"/>
          <w:sz w:val="24"/>
          <w:szCs w:val="24"/>
        </w:rPr>
      </w:pPr>
    </w:p>
    <w:p w14:paraId="7812834D" w14:textId="77499CB5" w:rsidR="00FE13A1" w:rsidRPr="00FE13A1" w:rsidRDefault="00FE13A1" w:rsidP="00FE13A1">
      <w:pPr>
        <w:jc w:val="both"/>
        <w:rPr>
          <w:rFonts w:ascii="DejaVu Sans" w:hAnsi="DejaVu Sans" w:cs="DejaVu Sans"/>
          <w:sz w:val="24"/>
          <w:szCs w:val="24"/>
        </w:rPr>
      </w:pPr>
      <w:r w:rsidRPr="00FE13A1">
        <w:rPr>
          <w:rFonts w:ascii="DejaVu Sans" w:hAnsi="DejaVu Sans" w:cs="DejaVu Sans"/>
          <w:sz w:val="24"/>
          <w:szCs w:val="24"/>
        </w:rPr>
        <w:t>However, note that:</w:t>
      </w:r>
    </w:p>
    <w:p w14:paraId="79442944" w14:textId="3CDB77A5" w:rsidR="00FE13A1" w:rsidRPr="00FE13A1" w:rsidRDefault="00765E38" w:rsidP="00FE13A1">
      <w:pPr>
        <w:pStyle w:val="ListParagraph"/>
        <w:numPr>
          <w:ilvl w:val="0"/>
          <w:numId w:val="3"/>
        </w:numPr>
        <w:ind w:left="360"/>
        <w:jc w:val="both"/>
        <w:rPr>
          <w:rFonts w:ascii="DejaVu Sans" w:hAnsi="DejaVu Sans" w:cs="DejaVu Sans"/>
          <w:sz w:val="24"/>
          <w:szCs w:val="24"/>
        </w:rPr>
      </w:pPr>
      <w:r>
        <w:rPr>
          <w:rFonts w:ascii="DejaVu Sans" w:hAnsi="DejaVu Sans" w:cs="DejaVu Sans"/>
          <w:sz w:val="24"/>
          <w:szCs w:val="24"/>
        </w:rPr>
        <w:t>t</w:t>
      </w:r>
      <w:r w:rsidR="00FE13A1" w:rsidRPr="00FE13A1">
        <w:rPr>
          <w:rFonts w:ascii="DejaVu Sans" w:hAnsi="DejaVu Sans" w:cs="DejaVu Sans"/>
          <w:sz w:val="24"/>
          <w:szCs w:val="24"/>
        </w:rPr>
        <w:t>his limit does not apply to ori</w:t>
      </w:r>
      <w:r>
        <w:rPr>
          <w:rFonts w:ascii="DejaVu Sans" w:hAnsi="DejaVu Sans" w:cs="DejaVu Sans"/>
          <w:sz w:val="24"/>
          <w:szCs w:val="24"/>
        </w:rPr>
        <w:t>ginal material</w:t>
      </w:r>
      <w:r w:rsidR="00FE13A1" w:rsidRPr="00FE13A1">
        <w:rPr>
          <w:rFonts w:ascii="DejaVu Sans" w:hAnsi="DejaVu Sans" w:cs="DejaVu Sans"/>
          <w:sz w:val="24"/>
          <w:szCs w:val="24"/>
        </w:rPr>
        <w:t xml:space="preserve"> - this includes manuscripts, letters, diaries, home videos</w:t>
      </w:r>
      <w:r>
        <w:rPr>
          <w:rFonts w:ascii="DejaVu Sans" w:hAnsi="DejaVu Sans" w:cs="DejaVu Sans"/>
          <w:sz w:val="24"/>
          <w:szCs w:val="24"/>
        </w:rPr>
        <w:t xml:space="preserve"> </w:t>
      </w:r>
      <w:proofErr w:type="spellStart"/>
      <w:r>
        <w:rPr>
          <w:rFonts w:ascii="DejaVu Sans" w:hAnsi="DejaVu Sans" w:cs="DejaVu Sans"/>
          <w:sz w:val="24"/>
          <w:szCs w:val="24"/>
        </w:rPr>
        <w:t>etc</w:t>
      </w:r>
      <w:proofErr w:type="spellEnd"/>
      <w:r w:rsidR="00FE13A1" w:rsidRPr="00FE13A1">
        <w:rPr>
          <w:rFonts w:ascii="DejaVu Sans" w:hAnsi="DejaVu Sans" w:cs="DejaVu Sans"/>
          <w:sz w:val="24"/>
          <w:szCs w:val="24"/>
        </w:rPr>
        <w:t>, even if the material was subsequently published; and</w:t>
      </w:r>
    </w:p>
    <w:p w14:paraId="46EFFF21" w14:textId="73F3772B" w:rsidR="00FE13A1" w:rsidRPr="00FE13A1" w:rsidRDefault="00765E38" w:rsidP="00FE13A1">
      <w:pPr>
        <w:pStyle w:val="ListParagraph"/>
        <w:numPr>
          <w:ilvl w:val="0"/>
          <w:numId w:val="3"/>
        </w:numPr>
        <w:ind w:left="360"/>
        <w:jc w:val="both"/>
        <w:rPr>
          <w:rFonts w:ascii="DejaVu Sans" w:hAnsi="DejaVu Sans" w:cs="DejaVu Sans"/>
          <w:sz w:val="24"/>
          <w:szCs w:val="24"/>
        </w:rPr>
      </w:pPr>
      <w:proofErr w:type="gramStart"/>
      <w:r>
        <w:rPr>
          <w:rFonts w:ascii="DejaVu Sans" w:hAnsi="DejaVu Sans" w:cs="DejaVu Sans"/>
          <w:sz w:val="24"/>
          <w:szCs w:val="24"/>
        </w:rPr>
        <w:t>t</w:t>
      </w:r>
      <w:r w:rsidR="00FE13A1" w:rsidRPr="00FE13A1">
        <w:rPr>
          <w:rFonts w:ascii="DejaVu Sans" w:hAnsi="DejaVu Sans" w:cs="DejaVu Sans"/>
          <w:sz w:val="24"/>
          <w:szCs w:val="24"/>
        </w:rPr>
        <w:t>he</w:t>
      </w:r>
      <w:proofErr w:type="gramEnd"/>
      <w:r w:rsidR="00FE13A1" w:rsidRPr="00FE13A1">
        <w:rPr>
          <w:rFonts w:ascii="DejaVu Sans" w:hAnsi="DejaVu Sans" w:cs="DejaVu Sans"/>
          <w:sz w:val="24"/>
          <w:szCs w:val="24"/>
        </w:rPr>
        <w:t xml:space="preserve"> available copy must be in the exact format needed for preservation - for example, the fact that an electronic version is available in a proprietary </w:t>
      </w:r>
      <w:proofErr w:type="spellStart"/>
      <w:r w:rsidR="00FE13A1" w:rsidRPr="00FE13A1">
        <w:rPr>
          <w:rFonts w:ascii="DejaVu Sans" w:hAnsi="DejaVu Sans" w:cs="DejaVu Sans"/>
          <w:sz w:val="24"/>
          <w:szCs w:val="24"/>
        </w:rPr>
        <w:t>ebook</w:t>
      </w:r>
      <w:proofErr w:type="spellEnd"/>
      <w:r w:rsidR="00FE13A1" w:rsidRPr="00FE13A1">
        <w:rPr>
          <w:rFonts w:ascii="DejaVu Sans" w:hAnsi="DejaVu Sans" w:cs="DejaVu Sans"/>
          <w:sz w:val="24"/>
          <w:szCs w:val="24"/>
        </w:rPr>
        <w:t xml:space="preserve"> format does not prevent you from copying the work into an open document format.</w:t>
      </w:r>
    </w:p>
    <w:p w14:paraId="533F6858" w14:textId="77777777" w:rsidR="00FE13A1" w:rsidRDefault="00FE13A1" w:rsidP="00FE13A1">
      <w:pPr>
        <w:jc w:val="both"/>
        <w:rPr>
          <w:rFonts w:ascii="DejaVu Sans" w:hAnsi="DejaVu Sans" w:cs="DejaVu Sans"/>
          <w:sz w:val="24"/>
          <w:szCs w:val="24"/>
        </w:rPr>
      </w:pPr>
    </w:p>
    <w:p w14:paraId="001B5E59" w14:textId="4FBB1FF2" w:rsidR="00FE13A1" w:rsidRPr="00FE13A1" w:rsidRDefault="00FE13A1" w:rsidP="00FE13A1">
      <w:pPr>
        <w:jc w:val="both"/>
        <w:rPr>
          <w:rFonts w:ascii="DejaVu Sans" w:hAnsi="DejaVu Sans" w:cs="DejaVu Sans"/>
          <w:sz w:val="24"/>
          <w:szCs w:val="24"/>
        </w:rPr>
      </w:pPr>
      <w:r w:rsidRPr="00FE13A1">
        <w:rPr>
          <w:rFonts w:ascii="DejaVu Sans" w:hAnsi="DejaVu Sans" w:cs="DejaVu Sans"/>
          <w:sz w:val="24"/>
          <w:szCs w:val="24"/>
        </w:rPr>
        <w:t>What this limit essentially aim</w:t>
      </w:r>
      <w:r w:rsidR="0073177E">
        <w:rPr>
          <w:rFonts w:ascii="DejaVu Sans" w:hAnsi="DejaVu Sans" w:cs="DejaVu Sans"/>
          <w:sz w:val="24"/>
          <w:szCs w:val="24"/>
        </w:rPr>
        <w:t>s to do</w:t>
      </w:r>
      <w:r w:rsidRPr="00FE13A1">
        <w:rPr>
          <w:rFonts w:ascii="DejaVu Sans" w:hAnsi="DejaVu Sans" w:cs="DejaVu Sans"/>
          <w:sz w:val="24"/>
          <w:szCs w:val="24"/>
        </w:rPr>
        <w:t xml:space="preserve"> is </w:t>
      </w:r>
      <w:r w:rsidR="0073177E">
        <w:rPr>
          <w:rFonts w:ascii="DejaVu Sans" w:hAnsi="DejaVu Sans" w:cs="DejaVu Sans"/>
          <w:sz w:val="24"/>
          <w:szCs w:val="24"/>
        </w:rPr>
        <w:t>ensure</w:t>
      </w:r>
      <w:r w:rsidRPr="00FE13A1">
        <w:rPr>
          <w:rFonts w:ascii="DejaVu Sans" w:hAnsi="DejaVu Sans" w:cs="DejaVu Sans"/>
          <w:sz w:val="24"/>
          <w:szCs w:val="24"/>
        </w:rPr>
        <w:t xml:space="preserve"> institutions </w:t>
      </w:r>
      <w:r w:rsidR="0073177E">
        <w:rPr>
          <w:rFonts w:ascii="DejaVu Sans" w:hAnsi="DejaVu Sans" w:cs="DejaVu Sans"/>
          <w:sz w:val="24"/>
          <w:szCs w:val="24"/>
        </w:rPr>
        <w:t xml:space="preserve">do not rely on a </w:t>
      </w:r>
      <w:r w:rsidRPr="00FE13A1">
        <w:rPr>
          <w:rFonts w:ascii="DejaVu Sans" w:hAnsi="DejaVu Sans" w:cs="DejaVu Sans"/>
          <w:sz w:val="24"/>
          <w:szCs w:val="24"/>
        </w:rPr>
        <w:t xml:space="preserve">preservation </w:t>
      </w:r>
      <w:r w:rsidR="0073177E">
        <w:rPr>
          <w:rFonts w:ascii="DejaVu Sans" w:hAnsi="DejaVu Sans" w:cs="DejaVu Sans"/>
          <w:sz w:val="24"/>
          <w:szCs w:val="24"/>
        </w:rPr>
        <w:t>copy instead of purchasing a replacement copy</w:t>
      </w:r>
      <w:r w:rsidRPr="00FE13A1">
        <w:rPr>
          <w:rFonts w:ascii="DejaVu Sans" w:hAnsi="DejaVu Sans" w:cs="DejaVu Sans"/>
          <w:sz w:val="24"/>
          <w:szCs w:val="24"/>
        </w:rPr>
        <w:t xml:space="preserve"> of </w:t>
      </w:r>
      <w:r w:rsidR="0073177E">
        <w:rPr>
          <w:rFonts w:ascii="DejaVu Sans" w:hAnsi="DejaVu Sans" w:cs="DejaVu Sans"/>
          <w:sz w:val="24"/>
          <w:szCs w:val="24"/>
        </w:rPr>
        <w:t>material that is still commercially available but that has</w:t>
      </w:r>
      <w:r w:rsidRPr="00FE13A1">
        <w:rPr>
          <w:rFonts w:ascii="DejaVu Sans" w:hAnsi="DejaVu Sans" w:cs="DejaVu Sans"/>
          <w:sz w:val="24"/>
          <w:szCs w:val="24"/>
        </w:rPr>
        <w:t xml:space="preserve"> become old or </w:t>
      </w:r>
      <w:r w:rsidR="0073177E">
        <w:rPr>
          <w:rFonts w:ascii="DejaVu Sans" w:hAnsi="DejaVu Sans" w:cs="DejaVu Sans"/>
          <w:sz w:val="24"/>
          <w:szCs w:val="24"/>
        </w:rPr>
        <w:t>damaged</w:t>
      </w:r>
      <w:r w:rsidRPr="00FE13A1">
        <w:rPr>
          <w:rFonts w:ascii="DejaVu Sans" w:hAnsi="DejaVu Sans" w:cs="DejaVu Sans"/>
          <w:sz w:val="24"/>
          <w:szCs w:val="24"/>
        </w:rPr>
        <w:t>. If you are genuinely preserving material in your collection, it is unlikely to be a barrier.</w:t>
      </w:r>
    </w:p>
    <w:p w14:paraId="7B68C79B" w14:textId="77777777" w:rsidR="00765E38" w:rsidRPr="00765E38" w:rsidRDefault="00765E38" w:rsidP="00765E38">
      <w:pPr>
        <w:pStyle w:val="Heading2"/>
        <w:jc w:val="both"/>
        <w:rPr>
          <w:rFonts w:ascii="DejaVu Sans" w:hAnsi="DejaVu Sans" w:cs="DejaVu Sans"/>
          <w:color w:val="2E74B5" w:themeColor="accent1" w:themeShade="BF"/>
        </w:rPr>
      </w:pPr>
      <w:r w:rsidRPr="00765E38">
        <w:rPr>
          <w:rFonts w:ascii="DejaVu Sans" w:hAnsi="DejaVu Sans" w:cs="DejaVu Sans"/>
          <w:color w:val="2E74B5" w:themeColor="accent1" w:themeShade="BF"/>
        </w:rPr>
        <w:t>Who can use the exception?</w:t>
      </w:r>
    </w:p>
    <w:p w14:paraId="1DF5F438" w14:textId="77777777" w:rsid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The only other place in which the new exception is narrower than the previous provisions is how it defines a “library”. </w:t>
      </w:r>
    </w:p>
    <w:p w14:paraId="7B46D90B" w14:textId="77777777" w:rsidR="0073177E" w:rsidRDefault="0073177E" w:rsidP="00765E38">
      <w:pPr>
        <w:jc w:val="both"/>
        <w:rPr>
          <w:rFonts w:ascii="DejaVu Sans" w:hAnsi="DejaVu Sans" w:cs="DejaVu Sans"/>
          <w:sz w:val="24"/>
          <w:szCs w:val="24"/>
        </w:rPr>
      </w:pPr>
    </w:p>
    <w:p w14:paraId="7DBE6FC7" w14:textId="3E85286F"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Previously, any library or non-profit archive was able to make use of the preservation provisions. </w:t>
      </w:r>
      <w:proofErr w:type="gramStart"/>
      <w:r w:rsidRPr="00765E38">
        <w:rPr>
          <w:rFonts w:ascii="DejaVu Sans" w:hAnsi="DejaVu Sans" w:cs="DejaVu Sans"/>
          <w:sz w:val="24"/>
          <w:szCs w:val="24"/>
        </w:rPr>
        <w:t>But</w:t>
      </w:r>
      <w:proofErr w:type="gramEnd"/>
      <w:r w:rsidRPr="00765E38">
        <w:rPr>
          <w:rFonts w:ascii="DejaVu Sans" w:hAnsi="DejaVu Sans" w:cs="DejaVu Sans"/>
          <w:sz w:val="24"/>
          <w:szCs w:val="24"/>
        </w:rPr>
        <w:t xml:space="preserve"> libraries must now be “open to the public” to fall within the exception (or be a Parliamentary libr</w:t>
      </w:r>
      <w:r w:rsidR="0073177E">
        <w:rPr>
          <w:rFonts w:ascii="DejaVu Sans" w:hAnsi="DejaVu Sans" w:cs="DejaVu Sans"/>
          <w:sz w:val="24"/>
          <w:szCs w:val="24"/>
        </w:rPr>
        <w:t>ary, which are listed specifically</w:t>
      </w:r>
      <w:r w:rsidRPr="00765E38">
        <w:rPr>
          <w:rFonts w:ascii="DejaVu Sans" w:hAnsi="DejaVu Sans" w:cs="DejaVu Sans"/>
          <w:sz w:val="24"/>
          <w:szCs w:val="24"/>
        </w:rPr>
        <w:t xml:space="preserve">). </w:t>
      </w:r>
    </w:p>
    <w:p w14:paraId="2B26C5FD" w14:textId="77777777" w:rsidR="00765E38" w:rsidRDefault="00765E38" w:rsidP="00765E38">
      <w:pPr>
        <w:jc w:val="both"/>
        <w:rPr>
          <w:rFonts w:ascii="DejaVu Sans" w:hAnsi="DejaVu Sans" w:cs="DejaVu Sans"/>
          <w:sz w:val="24"/>
          <w:szCs w:val="24"/>
        </w:rPr>
      </w:pPr>
    </w:p>
    <w:p w14:paraId="572E1988" w14:textId="77777777" w:rsidR="00ED5FB6" w:rsidRDefault="00ED5FB6">
      <w:pPr>
        <w:rPr>
          <w:rFonts w:ascii="DejaVu Sans" w:hAnsi="DejaVu Sans" w:cs="DejaVu Sans"/>
          <w:sz w:val="24"/>
          <w:szCs w:val="24"/>
        </w:rPr>
      </w:pPr>
      <w:r>
        <w:rPr>
          <w:rFonts w:ascii="DejaVu Sans" w:hAnsi="DejaVu Sans" w:cs="DejaVu Sans"/>
          <w:sz w:val="24"/>
          <w:szCs w:val="24"/>
        </w:rPr>
        <w:br w:type="page"/>
      </w:r>
    </w:p>
    <w:p w14:paraId="0DD329D8" w14:textId="4C3E593D"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lastRenderedPageBreak/>
        <w:t>This aligns the definition of library with that used in other exceptions in the Copyright Act (</w:t>
      </w:r>
      <w:proofErr w:type="spellStart"/>
      <w:r w:rsidRPr="00765E38">
        <w:rPr>
          <w:rFonts w:ascii="DejaVu Sans" w:hAnsi="DejaVu Sans" w:cs="DejaVu Sans"/>
          <w:sz w:val="24"/>
          <w:szCs w:val="24"/>
        </w:rPr>
        <w:t>eg</w:t>
      </w:r>
      <w:proofErr w:type="spellEnd"/>
      <w:r w:rsidRPr="00765E38">
        <w:rPr>
          <w:rFonts w:ascii="DejaVu Sans" w:hAnsi="DejaVu Sans" w:cs="DejaVu Sans"/>
          <w:sz w:val="24"/>
          <w:szCs w:val="24"/>
        </w:rPr>
        <w:t xml:space="preserve"> document delivery) and </w:t>
      </w:r>
      <w:proofErr w:type="gramStart"/>
      <w:r w:rsidRPr="00765E38">
        <w:rPr>
          <w:rFonts w:ascii="DejaVu Sans" w:hAnsi="DejaVu Sans" w:cs="DejaVu Sans"/>
          <w:sz w:val="24"/>
          <w:szCs w:val="24"/>
        </w:rPr>
        <w:t>is</w:t>
      </w:r>
      <w:r w:rsidR="00ED5FB6">
        <w:rPr>
          <w:rFonts w:ascii="DejaVu Sans" w:hAnsi="DejaVu Sans" w:cs="DejaVu Sans"/>
          <w:sz w:val="24"/>
          <w:szCs w:val="24"/>
        </w:rPr>
        <w:t xml:space="preserve"> </w:t>
      </w:r>
      <w:r w:rsidRPr="00765E38">
        <w:rPr>
          <w:rFonts w:ascii="DejaVu Sans" w:hAnsi="DejaVu Sans" w:cs="DejaVu Sans"/>
          <w:sz w:val="24"/>
          <w:szCs w:val="24"/>
        </w:rPr>
        <w:t>n</w:t>
      </w:r>
      <w:r w:rsidR="00ED5FB6">
        <w:rPr>
          <w:rFonts w:ascii="DejaVu Sans" w:hAnsi="DejaVu Sans" w:cs="DejaVu Sans"/>
          <w:sz w:val="24"/>
          <w:szCs w:val="24"/>
        </w:rPr>
        <w:t>o</w:t>
      </w:r>
      <w:r w:rsidRPr="00765E38">
        <w:rPr>
          <w:rFonts w:ascii="DejaVu Sans" w:hAnsi="DejaVu Sans" w:cs="DejaVu Sans"/>
          <w:sz w:val="24"/>
          <w:szCs w:val="24"/>
        </w:rPr>
        <w:t>t meant</w:t>
      </w:r>
      <w:proofErr w:type="gramEnd"/>
      <w:r w:rsidRPr="00765E38">
        <w:rPr>
          <w:rFonts w:ascii="DejaVu Sans" w:hAnsi="DejaVu Sans" w:cs="DejaVu Sans"/>
          <w:sz w:val="24"/>
          <w:szCs w:val="24"/>
        </w:rPr>
        <w:t xml:space="preserve"> to be </w:t>
      </w:r>
      <w:r w:rsidR="00ED5FB6">
        <w:rPr>
          <w:rFonts w:ascii="DejaVu Sans" w:hAnsi="DejaVu Sans" w:cs="DejaVu Sans"/>
          <w:sz w:val="24"/>
          <w:szCs w:val="24"/>
        </w:rPr>
        <w:t>a major limitation.</w:t>
      </w:r>
      <w:r w:rsidRPr="00765E38">
        <w:rPr>
          <w:rFonts w:ascii="DejaVu Sans" w:hAnsi="DejaVu Sans" w:cs="DejaVu Sans"/>
          <w:sz w:val="24"/>
          <w:szCs w:val="24"/>
        </w:rPr>
        <w:t xml:space="preserve"> </w:t>
      </w:r>
      <w:r w:rsidR="00ED5FB6">
        <w:rPr>
          <w:rFonts w:ascii="DejaVu Sans" w:hAnsi="DejaVu Sans" w:cs="DejaVu Sans"/>
          <w:sz w:val="24"/>
          <w:szCs w:val="24"/>
        </w:rPr>
        <w:t>I</w:t>
      </w:r>
      <w:r w:rsidRPr="00765E38">
        <w:rPr>
          <w:rFonts w:ascii="DejaVu Sans" w:hAnsi="DejaVu Sans" w:cs="DejaVu Sans"/>
          <w:sz w:val="24"/>
          <w:szCs w:val="24"/>
        </w:rPr>
        <w:t>t includes:</w:t>
      </w:r>
    </w:p>
    <w:p w14:paraId="78F90361" w14:textId="77777777" w:rsidR="00765E38" w:rsidRPr="00765E38" w:rsidRDefault="00765E38" w:rsidP="00765E38">
      <w:pPr>
        <w:pStyle w:val="ListParagraph"/>
        <w:numPr>
          <w:ilvl w:val="0"/>
          <w:numId w:val="3"/>
        </w:numPr>
        <w:ind w:left="360"/>
        <w:jc w:val="both"/>
        <w:rPr>
          <w:rFonts w:ascii="DejaVu Sans" w:hAnsi="DejaVu Sans" w:cs="DejaVu Sans"/>
          <w:sz w:val="24"/>
          <w:szCs w:val="24"/>
        </w:rPr>
      </w:pPr>
      <w:proofErr w:type="gramStart"/>
      <w:r w:rsidRPr="00765E38">
        <w:rPr>
          <w:rFonts w:ascii="DejaVu Sans" w:hAnsi="DejaVu Sans" w:cs="DejaVu Sans"/>
          <w:sz w:val="24"/>
          <w:szCs w:val="24"/>
        </w:rPr>
        <w:t>institutions</w:t>
      </w:r>
      <w:proofErr w:type="gramEnd"/>
      <w:r w:rsidRPr="00765E38">
        <w:rPr>
          <w:rFonts w:ascii="DejaVu Sans" w:hAnsi="DejaVu Sans" w:cs="DejaVu Sans"/>
          <w:sz w:val="24"/>
          <w:szCs w:val="24"/>
        </w:rPr>
        <w:t xml:space="preserve"> that are only open to a subcategory of the public (</w:t>
      </w:r>
      <w:proofErr w:type="spellStart"/>
      <w:r w:rsidRPr="00765E38">
        <w:rPr>
          <w:rFonts w:ascii="DejaVu Sans" w:hAnsi="DejaVu Sans" w:cs="DejaVu Sans"/>
          <w:sz w:val="24"/>
          <w:szCs w:val="24"/>
        </w:rPr>
        <w:t>eg</w:t>
      </w:r>
      <w:proofErr w:type="spellEnd"/>
      <w:r w:rsidRPr="00765E38">
        <w:rPr>
          <w:rFonts w:ascii="DejaVu Sans" w:hAnsi="DejaVu Sans" w:cs="DejaVu Sans"/>
          <w:sz w:val="24"/>
          <w:szCs w:val="24"/>
        </w:rPr>
        <w:t xml:space="preserve"> students);</w:t>
      </w:r>
    </w:p>
    <w:p w14:paraId="04039E1F" w14:textId="77777777" w:rsidR="00765E38" w:rsidRPr="00765E38" w:rsidRDefault="00765E38" w:rsidP="00765E38">
      <w:pPr>
        <w:pStyle w:val="ListParagraph"/>
        <w:numPr>
          <w:ilvl w:val="0"/>
          <w:numId w:val="3"/>
        </w:numPr>
        <w:ind w:left="360"/>
        <w:jc w:val="both"/>
        <w:rPr>
          <w:rFonts w:ascii="DejaVu Sans" w:hAnsi="DejaVu Sans" w:cs="DejaVu Sans"/>
          <w:sz w:val="24"/>
          <w:szCs w:val="24"/>
        </w:rPr>
      </w:pPr>
      <w:r w:rsidRPr="00765E38">
        <w:rPr>
          <w:rFonts w:ascii="DejaVu Sans" w:hAnsi="DejaVu Sans" w:cs="DejaVu Sans"/>
          <w:sz w:val="24"/>
          <w:szCs w:val="24"/>
        </w:rPr>
        <w:t>institutions that are only open part-time, on a temporary basis, or on request; and</w:t>
      </w:r>
    </w:p>
    <w:p w14:paraId="19D5C4BC" w14:textId="7E0206F4" w:rsidR="00765E38" w:rsidRPr="00765E38" w:rsidRDefault="00765E38" w:rsidP="00765E38">
      <w:pPr>
        <w:pStyle w:val="ListParagraph"/>
        <w:numPr>
          <w:ilvl w:val="0"/>
          <w:numId w:val="3"/>
        </w:numPr>
        <w:ind w:left="360"/>
        <w:jc w:val="both"/>
        <w:rPr>
          <w:rFonts w:ascii="DejaVu Sans" w:hAnsi="DejaVu Sans" w:cs="DejaVu Sans"/>
          <w:sz w:val="24"/>
          <w:szCs w:val="24"/>
        </w:rPr>
      </w:pPr>
      <w:proofErr w:type="gramStart"/>
      <w:r>
        <w:rPr>
          <w:rFonts w:ascii="DejaVu Sans" w:hAnsi="DejaVu Sans" w:cs="DejaVu Sans"/>
          <w:sz w:val="24"/>
          <w:szCs w:val="24"/>
        </w:rPr>
        <w:t>i</w:t>
      </w:r>
      <w:r w:rsidRPr="00765E38">
        <w:rPr>
          <w:rFonts w:ascii="DejaVu Sans" w:hAnsi="DejaVu Sans" w:cs="DejaVu Sans"/>
          <w:sz w:val="24"/>
          <w:szCs w:val="24"/>
        </w:rPr>
        <w:t>nstitutions</w:t>
      </w:r>
      <w:proofErr w:type="gramEnd"/>
      <w:r w:rsidRPr="00765E38">
        <w:rPr>
          <w:rFonts w:ascii="DejaVu Sans" w:hAnsi="DejaVu Sans" w:cs="DejaVu Sans"/>
          <w:sz w:val="24"/>
          <w:szCs w:val="24"/>
        </w:rPr>
        <w:t xml:space="preserve"> that only make their materials available via interlibrary loan.</w:t>
      </w:r>
    </w:p>
    <w:p w14:paraId="6F50E65D" w14:textId="77777777" w:rsidR="00765E38" w:rsidRDefault="00765E38" w:rsidP="00765E38">
      <w:pPr>
        <w:jc w:val="both"/>
        <w:rPr>
          <w:rFonts w:ascii="DejaVu Sans" w:hAnsi="DejaVu Sans" w:cs="DejaVu Sans"/>
          <w:sz w:val="24"/>
          <w:szCs w:val="24"/>
        </w:rPr>
      </w:pPr>
    </w:p>
    <w:p w14:paraId="38E91FFD" w14:textId="7D827907"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However, if you work in a corporate library that is only open to employees of your company and does not participate in interlibrary loan, you may miss out </w:t>
      </w:r>
      <w:r w:rsidR="00ED5FB6">
        <w:rPr>
          <w:rFonts w:ascii="DejaVu Sans" w:hAnsi="DejaVu Sans" w:cs="DejaVu Sans"/>
          <w:sz w:val="24"/>
          <w:szCs w:val="24"/>
        </w:rPr>
        <w:t>under</w:t>
      </w:r>
      <w:r w:rsidRPr="00765E38">
        <w:rPr>
          <w:rFonts w:ascii="DejaVu Sans" w:hAnsi="DejaVu Sans" w:cs="DejaVu Sans"/>
          <w:sz w:val="24"/>
          <w:szCs w:val="24"/>
        </w:rPr>
        <w:t xml:space="preserve"> the new provisions. </w:t>
      </w:r>
    </w:p>
    <w:p w14:paraId="61FAEA7A" w14:textId="77777777" w:rsidR="00765E38" w:rsidRDefault="00765E38" w:rsidP="00765E38">
      <w:pPr>
        <w:jc w:val="both"/>
        <w:rPr>
          <w:rFonts w:ascii="DejaVu Sans" w:hAnsi="DejaVu Sans" w:cs="DejaVu Sans"/>
          <w:sz w:val="24"/>
          <w:szCs w:val="24"/>
        </w:rPr>
      </w:pPr>
    </w:p>
    <w:p w14:paraId="21CD701B" w14:textId="056A819C" w:rsidR="00FE13A1"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Note that the definition of archive remains the same in the new exception - you merely need to be a non-profit archive to qualify, and do not need to be “open to the public”. So collections of material held by, for example, RSLs or local non-profit historical societies </w:t>
      </w:r>
      <w:proofErr w:type="gramStart"/>
      <w:r w:rsidRPr="00765E38">
        <w:rPr>
          <w:rFonts w:ascii="DejaVu Sans" w:hAnsi="DejaVu Sans" w:cs="DejaVu Sans"/>
          <w:sz w:val="24"/>
          <w:szCs w:val="24"/>
        </w:rPr>
        <w:t>can</w:t>
      </w:r>
      <w:proofErr w:type="gramEnd"/>
      <w:r w:rsidRPr="00765E38">
        <w:rPr>
          <w:rFonts w:ascii="DejaVu Sans" w:hAnsi="DejaVu Sans" w:cs="DejaVu Sans"/>
          <w:sz w:val="24"/>
          <w:szCs w:val="24"/>
        </w:rPr>
        <w:t xml:space="preserve"> still be preserved, even if they are not made available to the public.</w:t>
      </w:r>
    </w:p>
    <w:p w14:paraId="57DD34AE" w14:textId="64CDC53D" w:rsidR="00765E38" w:rsidRPr="00765E38" w:rsidRDefault="00765E38" w:rsidP="00765E38">
      <w:pPr>
        <w:pStyle w:val="Heading2"/>
        <w:jc w:val="both"/>
        <w:rPr>
          <w:rFonts w:ascii="DejaVu Sans" w:hAnsi="DejaVu Sans" w:cs="DejaVu Sans"/>
          <w:color w:val="2E74B5" w:themeColor="accent1" w:themeShade="BF"/>
        </w:rPr>
      </w:pPr>
      <w:r w:rsidRPr="00765E38">
        <w:rPr>
          <w:rFonts w:ascii="DejaVu Sans" w:hAnsi="DejaVu Sans" w:cs="DejaVu Sans"/>
          <w:color w:val="2E74B5" w:themeColor="accent1" w:themeShade="BF"/>
        </w:rPr>
        <w:t>Key cultural institutions</w:t>
      </w:r>
    </w:p>
    <w:p w14:paraId="3437586D" w14:textId="77777777" w:rsidR="00765E38" w:rsidRDefault="00765E38" w:rsidP="00F90FA1">
      <w:pPr>
        <w:jc w:val="both"/>
        <w:rPr>
          <w:rFonts w:ascii="DejaVu Sans" w:hAnsi="DejaVu Sans" w:cs="DejaVu Sans"/>
          <w:sz w:val="24"/>
          <w:szCs w:val="24"/>
        </w:rPr>
      </w:pPr>
      <w:r>
        <w:rPr>
          <w:rFonts w:ascii="DejaVu Sans" w:hAnsi="DejaVu Sans" w:cs="DejaVu Sans"/>
          <w:sz w:val="24"/>
          <w:szCs w:val="24"/>
        </w:rPr>
        <w:t xml:space="preserve">Key cultural institutions (usually institutions with a statutory function) get a separate preservation exception in the Act. This echoes the pattern of the old provisions, which gave key cultural institutions rights separate from other libraries and archives. </w:t>
      </w:r>
    </w:p>
    <w:p w14:paraId="0F1FF275" w14:textId="77777777" w:rsidR="00765E38" w:rsidRDefault="00765E38" w:rsidP="00F90FA1">
      <w:pPr>
        <w:jc w:val="both"/>
        <w:rPr>
          <w:rFonts w:ascii="DejaVu Sans" w:hAnsi="DejaVu Sans" w:cs="DejaVu Sans"/>
          <w:sz w:val="24"/>
          <w:szCs w:val="24"/>
        </w:rPr>
      </w:pPr>
    </w:p>
    <w:p w14:paraId="22337BF5" w14:textId="6A801BCF" w:rsidR="00765E38" w:rsidRDefault="00765E38" w:rsidP="00F90FA1">
      <w:pPr>
        <w:jc w:val="both"/>
        <w:rPr>
          <w:rFonts w:ascii="DejaVu Sans" w:hAnsi="DejaVu Sans" w:cs="DejaVu Sans"/>
          <w:sz w:val="24"/>
          <w:szCs w:val="24"/>
        </w:rPr>
      </w:pPr>
      <w:r>
        <w:rPr>
          <w:rFonts w:ascii="DejaVu Sans" w:hAnsi="DejaVu Sans" w:cs="DejaVu Sans"/>
          <w:sz w:val="24"/>
          <w:szCs w:val="24"/>
        </w:rPr>
        <w:t xml:space="preserve">However, unlike the old provisions, the new key cultural institution exception is essentially identical to the general exception. </w:t>
      </w:r>
      <w:proofErr w:type="gramStart"/>
      <w:r>
        <w:rPr>
          <w:rFonts w:ascii="DejaVu Sans" w:hAnsi="DejaVu Sans" w:cs="DejaVu Sans"/>
          <w:sz w:val="24"/>
          <w:szCs w:val="24"/>
        </w:rPr>
        <w:t>So</w:t>
      </w:r>
      <w:proofErr w:type="gramEnd"/>
      <w:r>
        <w:rPr>
          <w:rFonts w:ascii="DejaVu Sans" w:hAnsi="DejaVu Sans" w:cs="DejaVu Sans"/>
          <w:sz w:val="24"/>
          <w:szCs w:val="24"/>
        </w:rPr>
        <w:t xml:space="preserve"> all the same rules above apply </w:t>
      </w:r>
      <w:r w:rsidR="00ED5FB6">
        <w:rPr>
          <w:rFonts w:ascii="DejaVu Sans" w:hAnsi="DejaVu Sans" w:cs="DejaVu Sans"/>
          <w:sz w:val="24"/>
          <w:szCs w:val="24"/>
        </w:rPr>
        <w:t xml:space="preserve">to </w:t>
      </w:r>
      <w:r>
        <w:rPr>
          <w:rFonts w:ascii="DejaVu Sans" w:hAnsi="DejaVu Sans" w:cs="DejaVu Sans"/>
          <w:sz w:val="24"/>
          <w:szCs w:val="24"/>
        </w:rPr>
        <w:t>key cultural i</w:t>
      </w:r>
      <w:r w:rsidR="00ED5FB6">
        <w:rPr>
          <w:rFonts w:ascii="DejaVu Sans" w:hAnsi="DejaVu Sans" w:cs="DejaVu Sans"/>
          <w:sz w:val="24"/>
          <w:szCs w:val="24"/>
        </w:rPr>
        <w:t>nstitution the same as to other institutions</w:t>
      </w:r>
      <w:r>
        <w:rPr>
          <w:rFonts w:ascii="DejaVu Sans" w:hAnsi="DejaVu Sans" w:cs="DejaVu Sans"/>
          <w:sz w:val="24"/>
          <w:szCs w:val="24"/>
        </w:rPr>
        <w:t>.</w:t>
      </w:r>
    </w:p>
    <w:p w14:paraId="4DA4B7BE" w14:textId="77777777" w:rsidR="00765E38" w:rsidRPr="00765E38" w:rsidRDefault="00765E38" w:rsidP="00765E38">
      <w:pPr>
        <w:pStyle w:val="Heading2"/>
        <w:jc w:val="both"/>
        <w:rPr>
          <w:rFonts w:ascii="DejaVu Sans" w:hAnsi="DejaVu Sans" w:cs="DejaVu Sans"/>
          <w:color w:val="2E74B5" w:themeColor="accent1" w:themeShade="BF"/>
        </w:rPr>
      </w:pPr>
      <w:r w:rsidRPr="00765E38">
        <w:rPr>
          <w:rFonts w:ascii="DejaVu Sans" w:hAnsi="DejaVu Sans" w:cs="DejaVu Sans"/>
          <w:color w:val="2E74B5" w:themeColor="accent1" w:themeShade="BF"/>
        </w:rPr>
        <w:t>Access</w:t>
      </w:r>
    </w:p>
    <w:p w14:paraId="4329CD6A" w14:textId="78DD9EB6" w:rsid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The preservation exception </w:t>
      </w:r>
      <w:r>
        <w:rPr>
          <w:rFonts w:ascii="DejaVu Sans" w:hAnsi="DejaVu Sans" w:cs="DejaVu Sans"/>
          <w:sz w:val="24"/>
          <w:szCs w:val="24"/>
        </w:rPr>
        <w:t>aims</w:t>
      </w:r>
      <w:r w:rsidRPr="00765E38">
        <w:rPr>
          <w:rFonts w:ascii="DejaVu Sans" w:hAnsi="DejaVu Sans" w:cs="DejaVu Sans"/>
          <w:sz w:val="24"/>
          <w:szCs w:val="24"/>
        </w:rPr>
        <w:t xml:space="preserve"> to deal only with preservation of material, not with access to it. Access to materials </w:t>
      </w:r>
      <w:proofErr w:type="gramStart"/>
      <w:r w:rsidRPr="00765E38">
        <w:rPr>
          <w:rFonts w:ascii="DejaVu Sans" w:hAnsi="DejaVu Sans" w:cs="DejaVu Sans"/>
          <w:sz w:val="24"/>
          <w:szCs w:val="24"/>
        </w:rPr>
        <w:t>is usually provided</w:t>
      </w:r>
      <w:proofErr w:type="gramEnd"/>
      <w:r w:rsidRPr="00765E38">
        <w:rPr>
          <w:rFonts w:ascii="DejaVu Sans" w:hAnsi="DejaVu Sans" w:cs="DejaVu Sans"/>
          <w:sz w:val="24"/>
          <w:szCs w:val="24"/>
        </w:rPr>
        <w:t xml:space="preserve"> under other provisions in the Copyright Act, such as document delivery, interlibrary loan or the s200AB flexible dealing provision.</w:t>
      </w:r>
    </w:p>
    <w:p w14:paraId="06575433" w14:textId="77777777" w:rsidR="00765E38" w:rsidRPr="00765E38" w:rsidRDefault="00765E38" w:rsidP="00765E38">
      <w:pPr>
        <w:jc w:val="both"/>
        <w:rPr>
          <w:rFonts w:ascii="DejaVu Sans" w:hAnsi="DejaVu Sans" w:cs="DejaVu Sans"/>
          <w:sz w:val="24"/>
          <w:szCs w:val="24"/>
        </w:rPr>
      </w:pPr>
    </w:p>
    <w:p w14:paraId="35BA29BC" w14:textId="161A7B36"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However, the </w:t>
      </w:r>
      <w:r w:rsidR="00ED5FB6">
        <w:rPr>
          <w:rFonts w:ascii="DejaVu Sans" w:hAnsi="DejaVu Sans" w:cs="DejaVu Sans"/>
          <w:sz w:val="24"/>
          <w:szCs w:val="24"/>
        </w:rPr>
        <w:t>exception</w:t>
      </w:r>
      <w:r w:rsidRPr="00765E38">
        <w:rPr>
          <w:rFonts w:ascii="DejaVu Sans" w:hAnsi="DejaVu Sans" w:cs="DejaVu Sans"/>
          <w:sz w:val="24"/>
          <w:szCs w:val="24"/>
        </w:rPr>
        <w:t xml:space="preserve"> does include one access clause</w:t>
      </w:r>
      <w:r w:rsidR="00ED5FB6">
        <w:rPr>
          <w:rFonts w:ascii="DejaVu Sans" w:hAnsi="DejaVu Sans" w:cs="DejaVu Sans"/>
          <w:sz w:val="24"/>
          <w:szCs w:val="24"/>
        </w:rPr>
        <w:t xml:space="preserve"> - it</w:t>
      </w:r>
      <w:r w:rsidRPr="00765E38">
        <w:rPr>
          <w:rFonts w:ascii="DejaVu Sans" w:hAnsi="DejaVu Sans" w:cs="DejaVu Sans"/>
          <w:sz w:val="24"/>
          <w:szCs w:val="24"/>
        </w:rPr>
        <w:t xml:space="preserve"> allows you to provide onsite access to </w:t>
      </w:r>
      <w:r w:rsidR="00ED5FB6">
        <w:rPr>
          <w:rFonts w:ascii="DejaVu Sans" w:hAnsi="DejaVu Sans" w:cs="DejaVu Sans"/>
          <w:sz w:val="24"/>
          <w:szCs w:val="24"/>
        </w:rPr>
        <w:t>an electronic preservation copy</w:t>
      </w:r>
      <w:r w:rsidRPr="00765E38">
        <w:rPr>
          <w:rFonts w:ascii="DejaVu Sans" w:hAnsi="DejaVu Sans" w:cs="DejaVu Sans"/>
          <w:sz w:val="24"/>
          <w:szCs w:val="24"/>
        </w:rPr>
        <w:t xml:space="preserve">, as long as you take reasonable steps to prevent </w:t>
      </w:r>
      <w:r w:rsidR="00ED5FB6">
        <w:rPr>
          <w:rFonts w:ascii="DejaVu Sans" w:hAnsi="DejaVu Sans" w:cs="DejaVu Sans"/>
          <w:sz w:val="24"/>
          <w:szCs w:val="24"/>
        </w:rPr>
        <w:t xml:space="preserve">it from </w:t>
      </w:r>
      <w:proofErr w:type="gramStart"/>
      <w:r w:rsidR="00ED5FB6">
        <w:rPr>
          <w:rFonts w:ascii="DejaVu Sans" w:hAnsi="DejaVu Sans" w:cs="DejaVu Sans"/>
          <w:sz w:val="24"/>
          <w:szCs w:val="24"/>
        </w:rPr>
        <w:t>being used</w:t>
      </w:r>
      <w:proofErr w:type="gramEnd"/>
      <w:r w:rsidR="00ED5FB6">
        <w:rPr>
          <w:rFonts w:ascii="DejaVu Sans" w:hAnsi="DejaVu Sans" w:cs="DejaVu Sans"/>
          <w:sz w:val="24"/>
          <w:szCs w:val="24"/>
        </w:rPr>
        <w:t xml:space="preserve"> to </w:t>
      </w:r>
      <w:r w:rsidRPr="00765E38">
        <w:rPr>
          <w:rFonts w:ascii="DejaVu Sans" w:hAnsi="DejaVu Sans" w:cs="DejaVu Sans"/>
          <w:sz w:val="24"/>
          <w:szCs w:val="24"/>
        </w:rPr>
        <w:t>infringe</w:t>
      </w:r>
      <w:r w:rsidR="00ED5FB6">
        <w:rPr>
          <w:rFonts w:ascii="DejaVu Sans" w:hAnsi="DejaVu Sans" w:cs="DejaVu Sans"/>
          <w:sz w:val="24"/>
          <w:szCs w:val="24"/>
        </w:rPr>
        <w:t xml:space="preserve"> copyright</w:t>
      </w:r>
      <w:r w:rsidRPr="00765E38">
        <w:rPr>
          <w:rFonts w:ascii="DejaVu Sans" w:hAnsi="DejaVu Sans" w:cs="DejaVu Sans"/>
          <w:sz w:val="24"/>
          <w:szCs w:val="24"/>
        </w:rPr>
        <w:t>.</w:t>
      </w:r>
      <w:r w:rsidR="00ED5FB6">
        <w:rPr>
          <w:rFonts w:ascii="DejaVu Sans" w:hAnsi="DejaVu Sans" w:cs="DejaVu Sans"/>
          <w:sz w:val="24"/>
          <w:szCs w:val="24"/>
        </w:rPr>
        <w:t xml:space="preserve"> This means that you can now provide onsite researchers</w:t>
      </w:r>
      <w:r w:rsidRPr="00765E38">
        <w:rPr>
          <w:rFonts w:ascii="DejaVu Sans" w:hAnsi="DejaVu Sans" w:cs="DejaVu Sans"/>
          <w:sz w:val="24"/>
          <w:szCs w:val="24"/>
        </w:rPr>
        <w:t xml:space="preserve"> </w:t>
      </w:r>
      <w:r w:rsidR="00ED5FB6">
        <w:rPr>
          <w:rFonts w:ascii="DejaVu Sans" w:hAnsi="DejaVu Sans" w:cs="DejaVu Sans"/>
          <w:sz w:val="24"/>
          <w:szCs w:val="24"/>
        </w:rPr>
        <w:t xml:space="preserve">with direct access to electronic preservation copies </w:t>
      </w:r>
      <w:r w:rsidRPr="00765E38">
        <w:rPr>
          <w:rFonts w:ascii="DejaVu Sans" w:hAnsi="DejaVu Sans" w:cs="DejaVu Sans"/>
          <w:sz w:val="24"/>
          <w:szCs w:val="24"/>
        </w:rPr>
        <w:t>in place of the originals</w:t>
      </w:r>
      <w:r w:rsidR="00ED5FB6">
        <w:rPr>
          <w:rFonts w:ascii="DejaVu Sans" w:hAnsi="DejaVu Sans" w:cs="DejaVu Sans"/>
          <w:sz w:val="24"/>
          <w:szCs w:val="24"/>
        </w:rPr>
        <w:t>,</w:t>
      </w:r>
      <w:r w:rsidRPr="00765E38">
        <w:rPr>
          <w:rFonts w:ascii="DejaVu Sans" w:hAnsi="DejaVu Sans" w:cs="DejaVu Sans"/>
          <w:sz w:val="24"/>
          <w:szCs w:val="24"/>
        </w:rPr>
        <w:t xml:space="preserve"> so that you do not have to disturb delicate objects and can continue to provide access to materials that have become degraded etc. </w:t>
      </w:r>
      <w:r w:rsidR="00ED5FB6">
        <w:rPr>
          <w:rFonts w:ascii="DejaVu Sans" w:hAnsi="DejaVu Sans" w:cs="DejaVu Sans"/>
          <w:sz w:val="24"/>
          <w:szCs w:val="24"/>
        </w:rPr>
        <w:t xml:space="preserve">Previously you needed a special “dumb terminal” to do this, but this restriction </w:t>
      </w:r>
      <w:proofErr w:type="gramStart"/>
      <w:r w:rsidR="00ED5FB6">
        <w:rPr>
          <w:rFonts w:ascii="DejaVu Sans" w:hAnsi="DejaVu Sans" w:cs="DejaVu Sans"/>
          <w:sz w:val="24"/>
          <w:szCs w:val="24"/>
        </w:rPr>
        <w:t>is now removed</w:t>
      </w:r>
      <w:proofErr w:type="gramEnd"/>
      <w:r w:rsidR="00ED5FB6">
        <w:rPr>
          <w:rFonts w:ascii="DejaVu Sans" w:hAnsi="DejaVu Sans" w:cs="DejaVu Sans"/>
          <w:sz w:val="24"/>
          <w:szCs w:val="24"/>
        </w:rPr>
        <w:t>.</w:t>
      </w:r>
    </w:p>
    <w:p w14:paraId="02D9D7A8" w14:textId="77777777" w:rsidR="00765E38" w:rsidRDefault="00765E38" w:rsidP="00765E38">
      <w:pPr>
        <w:jc w:val="both"/>
        <w:rPr>
          <w:rFonts w:ascii="DejaVu Sans" w:hAnsi="DejaVu Sans" w:cs="DejaVu Sans"/>
          <w:sz w:val="24"/>
          <w:szCs w:val="24"/>
        </w:rPr>
      </w:pPr>
    </w:p>
    <w:p w14:paraId="41DFDD0D" w14:textId="4AF70DD1"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The Act does not say what it means by “reasonable steps to prevent infringement.” However, reminding a client of their copyright obligations or posting a notice next to the computer to </w:t>
      </w:r>
      <w:proofErr w:type="gramStart"/>
      <w:r w:rsidRPr="00765E38">
        <w:rPr>
          <w:rFonts w:ascii="DejaVu Sans" w:hAnsi="DejaVu Sans" w:cs="DejaVu Sans"/>
          <w:sz w:val="24"/>
          <w:szCs w:val="24"/>
        </w:rPr>
        <w:t>be used</w:t>
      </w:r>
      <w:proofErr w:type="gramEnd"/>
      <w:r w:rsidRPr="00765E38">
        <w:rPr>
          <w:rFonts w:ascii="DejaVu Sans" w:hAnsi="DejaVu Sans" w:cs="DejaVu Sans"/>
          <w:sz w:val="24"/>
          <w:szCs w:val="24"/>
        </w:rPr>
        <w:t xml:space="preserve"> similar to that attached to photocopiers should be sufficient. </w:t>
      </w:r>
    </w:p>
    <w:p w14:paraId="51AE6D14" w14:textId="77777777" w:rsidR="00765E38" w:rsidRDefault="00765E38" w:rsidP="00765E38">
      <w:pPr>
        <w:jc w:val="both"/>
        <w:rPr>
          <w:rFonts w:ascii="DejaVu Sans" w:hAnsi="DejaVu Sans" w:cs="DejaVu Sans"/>
          <w:sz w:val="24"/>
          <w:szCs w:val="24"/>
        </w:rPr>
      </w:pPr>
    </w:p>
    <w:p w14:paraId="26B9E94C" w14:textId="05420B0C"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It is also important to note that once you have made a preservation copy, it </w:t>
      </w:r>
      <w:proofErr w:type="gramStart"/>
      <w:r w:rsidRPr="00765E38">
        <w:rPr>
          <w:rFonts w:ascii="DejaVu Sans" w:hAnsi="DejaVu Sans" w:cs="DejaVu Sans"/>
          <w:sz w:val="24"/>
          <w:szCs w:val="24"/>
        </w:rPr>
        <w:t>can be used</w:t>
      </w:r>
      <w:proofErr w:type="gramEnd"/>
      <w:r w:rsidRPr="00765E38">
        <w:rPr>
          <w:rFonts w:ascii="DejaVu Sans" w:hAnsi="DejaVu Sans" w:cs="DejaVu Sans"/>
          <w:sz w:val="24"/>
          <w:szCs w:val="24"/>
        </w:rPr>
        <w:t xml:space="preserve"> as the source to provide access to material under any of the other provisions of the Copyright Act. </w:t>
      </w:r>
      <w:proofErr w:type="gramStart"/>
      <w:r w:rsidRPr="00765E38">
        <w:rPr>
          <w:rFonts w:ascii="DejaVu Sans" w:hAnsi="DejaVu Sans" w:cs="DejaVu Sans"/>
          <w:sz w:val="24"/>
          <w:szCs w:val="24"/>
        </w:rPr>
        <w:t>So</w:t>
      </w:r>
      <w:proofErr w:type="gramEnd"/>
      <w:r w:rsidRPr="00765E38">
        <w:rPr>
          <w:rFonts w:ascii="DejaVu Sans" w:hAnsi="DejaVu Sans" w:cs="DejaVu Sans"/>
          <w:sz w:val="24"/>
          <w:szCs w:val="24"/>
        </w:rPr>
        <w:t xml:space="preserve"> if you are supplying material under document delivery or interlibrary loan, or if you plan to post it online under s200AB, you can use your preservation copy to do so, rather than having to re-scan the original material. You just have to make sure the supply is legal under these other provisions.</w:t>
      </w:r>
    </w:p>
    <w:p w14:paraId="5E26D297" w14:textId="77777777" w:rsidR="00765E38" w:rsidRPr="00765E38" w:rsidRDefault="00765E38" w:rsidP="00765E38">
      <w:pPr>
        <w:pStyle w:val="Heading2"/>
        <w:jc w:val="both"/>
        <w:rPr>
          <w:rFonts w:ascii="DejaVu Sans" w:hAnsi="DejaVu Sans" w:cs="DejaVu Sans"/>
          <w:color w:val="2E74B5" w:themeColor="accent1" w:themeShade="BF"/>
        </w:rPr>
      </w:pPr>
      <w:r w:rsidRPr="00765E38">
        <w:rPr>
          <w:rFonts w:ascii="DejaVu Sans" w:hAnsi="DejaVu Sans" w:cs="DejaVu Sans"/>
          <w:color w:val="2E74B5" w:themeColor="accent1" w:themeShade="BF"/>
        </w:rPr>
        <w:t>Technological Protection Measures</w:t>
      </w:r>
    </w:p>
    <w:p w14:paraId="73BD7DD1" w14:textId="77777777" w:rsidR="00ED5FB6"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Finally, it is important to note that you </w:t>
      </w:r>
      <w:proofErr w:type="gramStart"/>
      <w:r w:rsidRPr="00765E38">
        <w:rPr>
          <w:rFonts w:ascii="DejaVu Sans" w:hAnsi="DejaVu Sans" w:cs="DejaVu Sans"/>
          <w:sz w:val="24"/>
          <w:szCs w:val="24"/>
        </w:rPr>
        <w:t>are allowed</w:t>
      </w:r>
      <w:proofErr w:type="gramEnd"/>
      <w:r w:rsidRPr="00765E38">
        <w:rPr>
          <w:rFonts w:ascii="DejaVu Sans" w:hAnsi="DejaVu Sans" w:cs="DejaVu Sans"/>
          <w:sz w:val="24"/>
          <w:szCs w:val="24"/>
        </w:rPr>
        <w:t xml:space="preserve"> to bypass technological protection measures (TPMs) to preserve materials in your collection. </w:t>
      </w:r>
    </w:p>
    <w:p w14:paraId="081B7A4A" w14:textId="77777777" w:rsidR="00ED5FB6" w:rsidRDefault="00ED5FB6" w:rsidP="00765E38">
      <w:pPr>
        <w:jc w:val="both"/>
        <w:rPr>
          <w:rFonts w:ascii="DejaVu Sans" w:hAnsi="DejaVu Sans" w:cs="DejaVu Sans"/>
          <w:sz w:val="24"/>
          <w:szCs w:val="24"/>
        </w:rPr>
      </w:pPr>
    </w:p>
    <w:p w14:paraId="1269DD6D" w14:textId="6D2F729E" w:rsidR="00765E38" w:rsidRP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A TPM is a digital lock that prevents you from accessing or copying the material. Usually you are not able to </w:t>
      </w:r>
      <w:r w:rsidR="00ED5FB6">
        <w:rPr>
          <w:rFonts w:ascii="DejaVu Sans" w:hAnsi="DejaVu Sans" w:cs="DejaVu Sans"/>
          <w:sz w:val="24"/>
          <w:szCs w:val="24"/>
        </w:rPr>
        <w:t>break</w:t>
      </w:r>
      <w:bookmarkStart w:id="4" w:name="_GoBack"/>
      <w:bookmarkEnd w:id="4"/>
      <w:r w:rsidRPr="00765E38">
        <w:rPr>
          <w:rFonts w:ascii="DejaVu Sans" w:hAnsi="DejaVu Sans" w:cs="DejaVu Sans"/>
          <w:sz w:val="24"/>
          <w:szCs w:val="24"/>
        </w:rPr>
        <w:t xml:space="preserve"> these locks, even for purposes that would otherwise be legal.</w:t>
      </w:r>
    </w:p>
    <w:p w14:paraId="7FC3D142" w14:textId="77777777" w:rsidR="00765E38" w:rsidRDefault="00765E38" w:rsidP="00765E38">
      <w:pPr>
        <w:jc w:val="both"/>
        <w:rPr>
          <w:rFonts w:ascii="DejaVu Sans" w:hAnsi="DejaVu Sans" w:cs="DejaVu Sans"/>
          <w:sz w:val="24"/>
          <w:szCs w:val="24"/>
        </w:rPr>
      </w:pPr>
    </w:p>
    <w:p w14:paraId="76CBECE0" w14:textId="701F7BC5" w:rsidR="00765E38" w:rsidRDefault="00765E38" w:rsidP="00765E38">
      <w:pPr>
        <w:jc w:val="both"/>
        <w:rPr>
          <w:rFonts w:ascii="DejaVu Sans" w:hAnsi="DejaVu Sans" w:cs="DejaVu Sans"/>
          <w:sz w:val="24"/>
          <w:szCs w:val="24"/>
        </w:rPr>
      </w:pPr>
      <w:r w:rsidRPr="00765E38">
        <w:rPr>
          <w:rFonts w:ascii="DejaVu Sans" w:hAnsi="DejaVu Sans" w:cs="DejaVu Sans"/>
          <w:sz w:val="24"/>
          <w:szCs w:val="24"/>
        </w:rPr>
        <w:t xml:space="preserve">However, the </w:t>
      </w:r>
      <w:proofErr w:type="gramStart"/>
      <w:r w:rsidRPr="00765E38">
        <w:rPr>
          <w:rFonts w:ascii="DejaVu Sans" w:hAnsi="DejaVu Sans" w:cs="DejaVu Sans"/>
          <w:sz w:val="24"/>
          <w:szCs w:val="24"/>
        </w:rPr>
        <w:t>newly-passed</w:t>
      </w:r>
      <w:proofErr w:type="gramEnd"/>
      <w:r w:rsidRPr="00765E38">
        <w:rPr>
          <w:rFonts w:ascii="DejaVu Sans" w:hAnsi="DejaVu Sans" w:cs="DejaVu Sans"/>
          <w:sz w:val="24"/>
          <w:szCs w:val="24"/>
        </w:rPr>
        <w:t xml:space="preserve"> Copyright Regulations 2017 include an explicit exemption to allow </w:t>
      </w:r>
      <w:r w:rsidR="00ED5FB6">
        <w:rPr>
          <w:rFonts w:ascii="DejaVu Sans" w:hAnsi="DejaVu Sans" w:cs="DejaVu Sans"/>
          <w:sz w:val="24"/>
          <w:szCs w:val="24"/>
        </w:rPr>
        <w:t>libraries and archives to circumvent</w:t>
      </w:r>
      <w:r w:rsidRPr="00765E38">
        <w:rPr>
          <w:rFonts w:ascii="DejaVu Sans" w:hAnsi="DejaVu Sans" w:cs="DejaVu Sans"/>
          <w:sz w:val="24"/>
          <w:szCs w:val="24"/>
        </w:rPr>
        <w:t xml:space="preserve"> TPMs for the purpose of preservation (and, notably, also for document delivery and interlibrary loan). This means if a video or a DVD you want to preserve has a copy protection technology applied, you can remove or break that technology to make your preservation copy. You can also use your preservation copy instead of the TPM-protected original within the limits of the law.</w:t>
      </w:r>
    </w:p>
    <w:p w14:paraId="69F1C5F3" w14:textId="18F12BD7" w:rsidR="00D061EA" w:rsidRPr="00013BA0" w:rsidRDefault="00D061EA" w:rsidP="00F90FA1">
      <w:pPr>
        <w:jc w:val="both"/>
        <w:rPr>
          <w:rFonts w:ascii="DejaVu Sans" w:hAnsi="DejaVu Sans" w:cs="DejaVu Sans"/>
        </w:rPr>
      </w:pPr>
    </w:p>
    <w:p w14:paraId="71434ADF" w14:textId="4EC43F49" w:rsidR="00CE75C5" w:rsidRPr="00013BA0" w:rsidRDefault="00C4290C" w:rsidP="00F90FA1">
      <w:pPr>
        <w:jc w:val="both"/>
        <w:rPr>
          <w:rFonts w:ascii="DejaVu Sans" w:hAnsi="DejaVu Sans" w:cs="DejaVu Sans"/>
          <w:sz w:val="40"/>
          <w:szCs w:val="40"/>
        </w:rPr>
      </w:pPr>
      <w:bookmarkStart w:id="5" w:name="_Enhanced_use_of"/>
      <w:bookmarkStart w:id="6" w:name="_Toc455396619"/>
      <w:bookmarkStart w:id="7" w:name="_Toc455959218"/>
      <w:bookmarkEnd w:id="5"/>
      <w:r w:rsidRPr="00761AA5">
        <w:rPr>
          <w:rFonts w:ascii="DejaVu Sans" w:hAnsi="DejaVu Sans" w:cs="DejaVu Sans"/>
          <w:noProof/>
          <w:color w:val="434343"/>
          <w:sz w:val="24"/>
          <w:szCs w:val="24"/>
          <w:lang w:val="en-AU" w:eastAsia="en-AU"/>
        </w:rPr>
        <mc:AlternateContent>
          <mc:Choice Requires="wps">
            <w:drawing>
              <wp:anchor distT="45720" distB="45720" distL="114300" distR="114300" simplePos="0" relativeHeight="251659264" behindDoc="0" locked="0" layoutInCell="1" allowOverlap="1" wp14:anchorId="59BCA843" wp14:editId="7E86BD5E">
                <wp:simplePos x="0" y="0"/>
                <wp:positionH relativeFrom="margin">
                  <wp:posOffset>0</wp:posOffset>
                </wp:positionH>
                <wp:positionV relativeFrom="paragraph">
                  <wp:posOffset>5012170</wp:posOffset>
                </wp:positionV>
                <wp:extent cx="5943600" cy="140462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1">
                            <a:lumMod val="20000"/>
                            <a:lumOff val="80000"/>
                          </a:schemeClr>
                        </a:solidFill>
                        <a:ln w="9525">
                          <a:noFill/>
                          <a:miter lim="800000"/>
                          <a:headEnd/>
                          <a:tailEnd/>
                        </a:ln>
                      </wps:spPr>
                      <wps:txbx>
                        <w:txbxContent>
                          <w:p w14:paraId="12011661" w14:textId="77777777" w:rsidR="00C4290C" w:rsidRPr="00761AA5" w:rsidRDefault="00C4290C" w:rsidP="00C4290C">
                            <w:pPr>
                              <w:jc w:val="both"/>
                              <w:rPr>
                                <w:rFonts w:ascii="DejaVu Sans" w:hAnsi="DejaVu Sans" w:cs="DejaVu Sans"/>
                                <w:sz w:val="24"/>
                                <w:szCs w:val="24"/>
                              </w:rPr>
                            </w:pPr>
                            <w:r>
                              <w:rPr>
                                <w:rFonts w:ascii="DejaVu Sans" w:hAnsi="DejaVu Sans" w:cs="DejaVu Sans"/>
                                <w:sz w:val="24"/>
                                <w:szCs w:val="24"/>
                              </w:rPr>
                              <w:t xml:space="preserve">The </w:t>
                            </w:r>
                            <w:r w:rsidRPr="008138FD">
                              <w:rPr>
                                <w:rFonts w:ascii="DejaVu Sans" w:hAnsi="DejaVu Sans" w:cs="DejaVu Sans"/>
                                <w:color w:val="2E74B5" w:themeColor="accent1" w:themeShade="BF"/>
                                <w:sz w:val="24"/>
                                <w:szCs w:val="24"/>
                              </w:rPr>
                              <w:t>Australian Libraries Copyright Committee</w:t>
                            </w:r>
                            <w:r>
                              <w:rPr>
                                <w:rFonts w:ascii="DejaVu Sans" w:hAnsi="DejaVu Sans" w:cs="DejaVu Sans"/>
                                <w:color w:val="2E74B5" w:themeColor="accent1" w:themeShade="BF"/>
                                <w:sz w:val="24"/>
                                <w:szCs w:val="24"/>
                              </w:rPr>
                              <w:t xml:space="preserve"> </w:t>
                            </w:r>
                            <w:r w:rsidRPr="008138FD">
                              <w:rPr>
                                <w:rFonts w:ascii="DejaVu Sans" w:hAnsi="DejaVu Sans" w:cs="DejaVu Sans"/>
                                <w:sz w:val="24"/>
                                <w:szCs w:val="24"/>
                              </w:rPr>
                              <w:t xml:space="preserve">is the primary policy body for the discussion of copyright issues affecting libraries and archives in Australia. For more information and resources on copyright for libraries, including regular training opportunities throughout Australia, see the </w:t>
                            </w:r>
                            <w:hyperlink r:id="rId11" w:history="1">
                              <w:r w:rsidRPr="008138FD">
                                <w:rPr>
                                  <w:rStyle w:val="Hyperlink"/>
                                  <w:rFonts w:ascii="DejaVu Sans" w:hAnsi="DejaVu Sans" w:cs="DejaVu Sans"/>
                                  <w:sz w:val="24"/>
                                  <w:szCs w:val="24"/>
                                </w:rPr>
                                <w:t>http://libcopyright.org.au</w:t>
                              </w:r>
                            </w:hyperlink>
                            <w:r w:rsidRPr="008138FD">
                              <w:rPr>
                                <w:rFonts w:ascii="DejaVu Sans" w:hAnsi="DejaVu Sans" w:cs="DejaVu San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CA843" id="_x0000_t202" coordsize="21600,21600" o:spt="202" path="m,l,21600r21600,l21600,xe">
                <v:stroke joinstyle="miter"/>
                <v:path gradientshapeok="t" o:connecttype="rect"/>
              </v:shapetype>
              <v:shape id="Text Box 2" o:spid="_x0000_s1026" type="#_x0000_t202" style="position:absolute;left:0;text-align:left;margin-left:0;margin-top:394.65pt;width:4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" fillcolor="#deeaf6 [660]" stroked="f">
                <v:textbox style="mso-fit-shape-to-text:t">
                  <w:txbxContent>
                    <w:p w14:paraId="12011661" w14:textId="77777777" w:rsidR="00C4290C" w:rsidRPr="00761AA5" w:rsidRDefault="00C4290C" w:rsidP="00C4290C">
                      <w:pPr>
                        <w:jc w:val="both"/>
                        <w:rPr>
                          <w:rFonts w:ascii="DejaVu Sans" w:hAnsi="DejaVu Sans" w:cs="DejaVu Sans"/>
                          <w:sz w:val="24"/>
                          <w:szCs w:val="24"/>
                        </w:rPr>
                      </w:pPr>
                      <w:r>
                        <w:rPr>
                          <w:rFonts w:ascii="DejaVu Sans" w:hAnsi="DejaVu Sans" w:cs="DejaVu Sans"/>
                          <w:sz w:val="24"/>
                          <w:szCs w:val="24"/>
                        </w:rPr>
                        <w:t xml:space="preserve">The </w:t>
                      </w:r>
                      <w:r w:rsidRPr="008138FD">
                        <w:rPr>
                          <w:rFonts w:ascii="DejaVu Sans" w:hAnsi="DejaVu Sans" w:cs="DejaVu Sans"/>
                          <w:color w:val="2E74B5" w:themeColor="accent1" w:themeShade="BF"/>
                          <w:sz w:val="24"/>
                          <w:szCs w:val="24"/>
                        </w:rPr>
                        <w:t>Australian Libraries Copyright Committee</w:t>
                      </w:r>
                      <w:r>
                        <w:rPr>
                          <w:rFonts w:ascii="DejaVu Sans" w:hAnsi="DejaVu Sans" w:cs="DejaVu Sans"/>
                          <w:color w:val="2E74B5" w:themeColor="accent1" w:themeShade="BF"/>
                          <w:sz w:val="24"/>
                          <w:szCs w:val="24"/>
                        </w:rPr>
                        <w:t xml:space="preserve"> </w:t>
                      </w:r>
                      <w:r w:rsidRPr="008138FD">
                        <w:rPr>
                          <w:rFonts w:ascii="DejaVu Sans" w:hAnsi="DejaVu Sans" w:cs="DejaVu Sans"/>
                          <w:sz w:val="24"/>
                          <w:szCs w:val="24"/>
                        </w:rPr>
                        <w:t xml:space="preserve">is the primary policy body for the discussion of copyright issues affecting libraries and archives in Australia. For more information and resources on copyright for libraries, including regular training opportunities throughout Australia, see the </w:t>
                      </w:r>
                      <w:hyperlink r:id="rId12" w:history="1">
                        <w:r w:rsidRPr="008138FD">
                          <w:rPr>
                            <w:rStyle w:val="Hyperlink"/>
                            <w:rFonts w:ascii="DejaVu Sans" w:hAnsi="DejaVu Sans" w:cs="DejaVu Sans"/>
                            <w:sz w:val="24"/>
                            <w:szCs w:val="24"/>
                          </w:rPr>
                          <w:t>http://libcopyright.org.au</w:t>
                        </w:r>
                      </w:hyperlink>
                      <w:r w:rsidRPr="008138FD">
                        <w:rPr>
                          <w:rFonts w:ascii="DejaVu Sans" w:hAnsi="DejaVu Sans" w:cs="DejaVu Sans"/>
                          <w:sz w:val="24"/>
                          <w:szCs w:val="24"/>
                        </w:rPr>
                        <w:t>.</w:t>
                      </w:r>
                    </w:p>
                  </w:txbxContent>
                </v:textbox>
                <w10:wrap type="square" anchorx="margin"/>
              </v:shape>
            </w:pict>
          </mc:Fallback>
        </mc:AlternateContent>
      </w:r>
      <w:bookmarkEnd w:id="6"/>
      <w:bookmarkEnd w:id="7"/>
    </w:p>
    <w:sectPr w:rsidR="00CE75C5" w:rsidRPr="00013BA0" w:rsidSect="00CD675E">
      <w:headerReference w:type="default" r:id="rId13"/>
      <w:footerReference w:type="default" r:id="rId14"/>
      <w:headerReference w:type="first" r:id="rId15"/>
      <w:footerReference w:type="first" r:id="rId16"/>
      <w:pgSz w:w="12240" w:h="15840"/>
      <w:pgMar w:top="1440" w:right="1080" w:bottom="1440" w:left="1080" w:header="720" w:footer="720" w:gutter="0"/>
      <w:pgNumType w:start="1"/>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06C6" w14:textId="77777777" w:rsidR="005913C3" w:rsidRDefault="005913C3">
      <w:pPr>
        <w:spacing w:line="240" w:lineRule="auto"/>
      </w:pPr>
      <w:r>
        <w:separator/>
      </w:r>
    </w:p>
  </w:endnote>
  <w:endnote w:type="continuationSeparator" w:id="0">
    <w:p w14:paraId="487D9F7A" w14:textId="77777777" w:rsidR="005913C3" w:rsidRDefault="00591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A561" w14:textId="6403F760" w:rsidR="0084441E" w:rsidRDefault="0084441E">
    <w:pPr>
      <w:pStyle w:val="Footer"/>
    </w:pPr>
    <w:r>
      <w:rPr>
        <w:noProof/>
        <w:lang w:val="en-AU" w:eastAsia="en-AU"/>
      </w:rPr>
      <w:drawing>
        <wp:anchor distT="0" distB="0" distL="114300" distR="114300" simplePos="0" relativeHeight="251663360" behindDoc="0" locked="0" layoutInCell="1" allowOverlap="1" wp14:anchorId="60346329" wp14:editId="612661D6">
          <wp:simplePos x="0" y="0"/>
          <wp:positionH relativeFrom="margin">
            <wp:posOffset>5112327</wp:posOffset>
          </wp:positionH>
          <wp:positionV relativeFrom="paragraph">
            <wp:posOffset>62346</wp:posOffset>
          </wp:positionV>
          <wp:extent cx="623454" cy="217668"/>
          <wp:effectExtent l="0" t="0" r="5715" b="0"/>
          <wp:wrapNone/>
          <wp:docPr id="8" name="Picture 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454" cy="2176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lang w:val="en-AU" w:eastAsia="en-AU"/>
      </w:rPr>
      <w:drawing>
        <wp:inline distT="0" distB="0" distL="0" distR="0" wp14:anchorId="2886D519" wp14:editId="07361517">
          <wp:extent cx="1891145" cy="348852"/>
          <wp:effectExtent l="0" t="0" r="0" b="0"/>
          <wp:docPr id="1"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C.png"/>
                  <pic:cNvPicPr/>
                </pic:nvPicPr>
                <pic:blipFill>
                  <a:blip r:embed="rId4">
                    <a:extLst>
                      <a:ext uri="{28A0092B-C50C-407E-A947-70E740481C1C}">
                        <a14:useLocalDpi xmlns:a14="http://schemas.microsoft.com/office/drawing/2010/main" val="0"/>
                      </a:ext>
                    </a:extLst>
                  </a:blip>
                  <a:stretch>
                    <a:fillRect/>
                  </a:stretch>
                </pic:blipFill>
                <pic:spPr>
                  <a:xfrm>
                    <a:off x="0" y="0"/>
                    <a:ext cx="1899212" cy="3503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CB22" w14:textId="1142E6B9" w:rsidR="00C4290C" w:rsidRDefault="00C4290C" w:rsidP="00C4290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pPr>
    <w:r>
      <w:rPr>
        <w:noProof/>
        <w:lang w:val="en-AU" w:eastAsia="en-AU"/>
      </w:rPr>
      <w:drawing>
        <wp:anchor distT="0" distB="0" distL="114300" distR="114300" simplePos="0" relativeHeight="251665408" behindDoc="0" locked="0" layoutInCell="1" allowOverlap="1" wp14:anchorId="116B5982" wp14:editId="5E558101">
          <wp:simplePos x="0" y="0"/>
          <wp:positionH relativeFrom="margin">
            <wp:align>left</wp:align>
          </wp:positionH>
          <wp:positionV relativeFrom="paragraph">
            <wp:posOffset>29903</wp:posOffset>
          </wp:positionV>
          <wp:extent cx="951230" cy="332105"/>
          <wp:effectExtent l="0" t="0" r="1270" b="0"/>
          <wp:wrapSquare wrapText="bothSides"/>
          <wp:docPr id="23" name="Picture 2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B5B">
      <w:rPr>
        <w:rFonts w:ascii="DejaVu Sans" w:hAnsi="DejaVu Sans" w:cs="DejaVu Sans"/>
        <w:sz w:val="20"/>
        <w:szCs w:val="20"/>
      </w:rPr>
      <w:t xml:space="preserve">This guide and all material contained in it are licensed under a </w:t>
    </w:r>
    <w:hyperlink r:id="rId2" w:history="1">
      <w:r w:rsidRPr="00034B5B">
        <w:rPr>
          <w:rStyle w:val="Hyperlink"/>
          <w:rFonts w:ascii="DejaVu Sans" w:hAnsi="DejaVu Sans" w:cs="DejaVu Sans"/>
          <w:sz w:val="20"/>
          <w:szCs w:val="20"/>
        </w:rPr>
        <w:t xml:space="preserve">Creative Commons Attribution 4.0 </w:t>
      </w:r>
      <w:proofErr w:type="spellStart"/>
      <w:r w:rsidRPr="00034B5B">
        <w:rPr>
          <w:rStyle w:val="Hyperlink"/>
          <w:rFonts w:ascii="DejaVu Sans" w:hAnsi="DejaVu Sans" w:cs="DejaVu Sans"/>
          <w:sz w:val="20"/>
          <w:szCs w:val="20"/>
        </w:rPr>
        <w:t>licence</w:t>
      </w:r>
      <w:proofErr w:type="spellEnd"/>
    </w:hyperlink>
    <w:r w:rsidRPr="00034B5B">
      <w:rPr>
        <w:rFonts w:ascii="DejaVu Sans" w:hAnsi="DejaVu Sans" w:cs="DejaVu Sans"/>
        <w:sz w:val="20"/>
        <w:szCs w:val="20"/>
      </w:rPr>
      <w:t>. Please share, reproduce and adapt it, but attribute the Australian Library Copyright Committee as the or</w:t>
    </w:r>
    <w:r>
      <w:rPr>
        <w:rFonts w:ascii="DejaVu Sans" w:hAnsi="DejaVu Sans" w:cs="DejaVu Sans"/>
        <w:sz w:val="20"/>
        <w:szCs w:val="20"/>
      </w:rPr>
      <w:t>iginal 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BC738" w14:textId="77777777" w:rsidR="005913C3" w:rsidRDefault="005913C3">
      <w:pPr>
        <w:spacing w:line="240" w:lineRule="auto"/>
      </w:pPr>
      <w:r>
        <w:separator/>
      </w:r>
    </w:p>
  </w:footnote>
  <w:footnote w:type="continuationSeparator" w:id="0">
    <w:p w14:paraId="28C1489A" w14:textId="77777777" w:rsidR="005913C3" w:rsidRDefault="00591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9E5B" w14:textId="39ACB911" w:rsidR="00F90FA1" w:rsidRDefault="00F90FA1">
    <w:pPr>
      <w:pStyle w:val="Header"/>
    </w:pP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14:anchorId="32448EBA" wp14:editId="0B244F57">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1601" w14:textId="1A40B878"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5FB6">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48EBA"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2641601" w14:textId="1A40B878"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5FB6">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86D9" w14:textId="6366A678" w:rsidR="00F90FA1" w:rsidRDefault="00F90FA1">
    <w:pPr>
      <w:pStyle w:val="Header"/>
    </w:pPr>
    <w:r>
      <w:rPr>
        <w:caps/>
        <w:noProof/>
        <w:color w:val="808080" w:themeColor="background1" w:themeShade="80"/>
        <w:sz w:val="20"/>
        <w:szCs w:val="20"/>
        <w:lang w:val="en-AU" w:eastAsia="en-AU"/>
      </w:rPr>
      <w:drawing>
        <wp:inline distT="0" distB="0" distL="0" distR="0" wp14:anchorId="740D2EE5" wp14:editId="3F3973AA">
          <wp:extent cx="2943636" cy="54300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C.png"/>
                  <pic:cNvPicPr/>
                </pic:nvPicPr>
                <pic:blipFill>
                  <a:blip r:embed="rId1">
                    <a:extLst>
                      <a:ext uri="{28A0092B-C50C-407E-A947-70E740481C1C}">
                        <a14:useLocalDpi xmlns:a14="http://schemas.microsoft.com/office/drawing/2010/main" val="0"/>
                      </a:ext>
                    </a:extLst>
                  </a:blip>
                  <a:stretch>
                    <a:fillRect/>
                  </a:stretch>
                </pic:blipFill>
                <pic:spPr>
                  <a:xfrm>
                    <a:off x="0" y="0"/>
                    <a:ext cx="2943636" cy="543001"/>
                  </a:xfrm>
                  <a:prstGeom prst="rect">
                    <a:avLst/>
                  </a:prstGeom>
                </pic:spPr>
              </pic:pic>
            </a:graphicData>
          </a:graphic>
        </wp:inline>
      </w:drawing>
    </w:r>
    <w:r>
      <w:rPr>
        <w:caps/>
        <w:noProof/>
        <w:color w:val="808080" w:themeColor="background1" w:themeShade="80"/>
        <w:sz w:val="20"/>
        <w:szCs w:val="20"/>
        <w:lang w:val="en-AU" w:eastAsia="en-AU"/>
      </w:rPr>
      <mc:AlternateContent>
        <mc:Choice Requires="wpg">
          <w:drawing>
            <wp:anchor distT="0" distB="0" distL="114300" distR="114300" simplePos="0" relativeHeight="251661312" behindDoc="0" locked="0" layoutInCell="1" allowOverlap="1" wp14:anchorId="355C5959" wp14:editId="32DC6B19">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B8073" w14:textId="54B026CA"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5FB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C5959" id="Group 2" o:spid="_x0000_s1033"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">
              <v:group id="Group 3"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Rectangle 6"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" strokecolor="white [3212]" strokeweight="1pt">
                  <v:fill r:id="rId3" o:title="" recolor="t" rotate="t" type="frame"/>
                </v:rect>
              </v:group>
              <v:shapetype id="_x0000_t202" coordsize="21600,21600" o:spt="202" path="m,l,21600r21600,l21600,xe">
                <v:stroke joinstyle="miter"/>
                <v:path gradientshapeok="t" o:connecttype="rect"/>
              </v:shapetype>
              <v:shape id="Text Box 7"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14:paraId="482B8073" w14:textId="54B026CA"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5FB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CE5"/>
    <w:multiLevelType w:val="hybridMultilevel"/>
    <w:tmpl w:val="935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3B6"/>
    <w:multiLevelType w:val="hybridMultilevel"/>
    <w:tmpl w:val="BC1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57F3E"/>
    <w:multiLevelType w:val="hybridMultilevel"/>
    <w:tmpl w:val="A8A2E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1D19E0"/>
    <w:multiLevelType w:val="hybridMultilevel"/>
    <w:tmpl w:val="AE4A0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74459F"/>
    <w:multiLevelType w:val="hybridMultilevel"/>
    <w:tmpl w:val="71544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63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5C7C"/>
    <w:multiLevelType w:val="hybridMultilevel"/>
    <w:tmpl w:val="705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10A12"/>
    <w:multiLevelType w:val="multilevel"/>
    <w:tmpl w:val="140693E8"/>
    <w:lvl w:ilvl="0">
      <w:start w:val="1"/>
      <w:numFmt w:val="decimal"/>
      <w:lvlText w:val="%1."/>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F22634"/>
    <w:multiLevelType w:val="hybridMultilevel"/>
    <w:tmpl w:val="BBA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26A35"/>
    <w:multiLevelType w:val="multilevel"/>
    <w:tmpl w:val="9E7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10667F"/>
    <w:multiLevelType w:val="hybridMultilevel"/>
    <w:tmpl w:val="BE705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5E6450"/>
    <w:multiLevelType w:val="multilevel"/>
    <w:tmpl w:val="39B42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EC37368"/>
    <w:multiLevelType w:val="hybridMultilevel"/>
    <w:tmpl w:val="789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25BFC"/>
    <w:multiLevelType w:val="hybridMultilevel"/>
    <w:tmpl w:val="E330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E82941"/>
    <w:multiLevelType w:val="hybridMultilevel"/>
    <w:tmpl w:val="398E7F1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7C71E7"/>
    <w:multiLevelType w:val="multilevel"/>
    <w:tmpl w:val="090423B6"/>
    <w:lvl w:ilvl="0">
      <w:start w:val="1"/>
      <w:numFmt w:val="decimal"/>
      <w:lvlText w:val="%1."/>
      <w:lvlJc w:val="left"/>
      <w:pPr>
        <w:ind w:left="0" w:firstLine="360"/>
      </w:pPr>
      <w:rPr>
        <w:u w:val="none"/>
      </w:rPr>
    </w:lvl>
    <w:lvl w:ilvl="1">
      <w:start w:val="1"/>
      <w:numFmt w:val="lowerLetter"/>
      <w:lvlText w:val="%2)"/>
      <w:lvlJc w:val="left"/>
      <w:pPr>
        <w:ind w:left="630" w:firstLine="1080"/>
      </w:pPr>
      <w:rPr>
        <w:u w:val="none"/>
      </w:rPr>
    </w:lvl>
    <w:lvl w:ilvl="2">
      <w:start w:val="1"/>
      <w:numFmt w:val="lowerRoman"/>
      <w:lvlText w:val="%3)"/>
      <w:lvlJc w:val="righ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righ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right"/>
      <w:pPr>
        <w:ind w:left="5670" w:firstLine="6120"/>
      </w:pPr>
      <w:rPr>
        <w:u w:val="none"/>
      </w:rPr>
    </w:lvl>
  </w:abstractNum>
  <w:abstractNum w:abstractNumId="15" w15:restartNumberingAfterBreak="0">
    <w:nsid w:val="79C43891"/>
    <w:multiLevelType w:val="hybridMultilevel"/>
    <w:tmpl w:val="F6C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4665A"/>
    <w:multiLevelType w:val="hybridMultilevel"/>
    <w:tmpl w:val="D4B01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0D258C"/>
    <w:multiLevelType w:val="hybridMultilevel"/>
    <w:tmpl w:val="4BA44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0"/>
  </w:num>
  <w:num w:numId="4">
    <w:abstractNumId w:val="15"/>
  </w:num>
  <w:num w:numId="5">
    <w:abstractNumId w:val="13"/>
  </w:num>
  <w:num w:numId="6">
    <w:abstractNumId w:val="12"/>
  </w:num>
  <w:num w:numId="7">
    <w:abstractNumId w:val="7"/>
  </w:num>
  <w:num w:numId="8">
    <w:abstractNumId w:val="4"/>
  </w:num>
  <w:num w:numId="9">
    <w:abstractNumId w:val="14"/>
  </w:num>
  <w:num w:numId="10">
    <w:abstractNumId w:val="1"/>
  </w:num>
  <w:num w:numId="11">
    <w:abstractNumId w:val="8"/>
  </w:num>
  <w:num w:numId="12">
    <w:abstractNumId w:val="16"/>
  </w:num>
  <w:num w:numId="13">
    <w:abstractNumId w:val="5"/>
  </w:num>
  <w:num w:numId="14">
    <w:abstractNumId w:val="11"/>
  </w:num>
  <w:num w:numId="15">
    <w:abstractNumId w:val="17"/>
  </w:num>
  <w:num w:numId="16">
    <w:abstractNumId w:val="2"/>
  </w:num>
  <w:num w:numId="17">
    <w:abstractNumId w:val="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EA"/>
    <w:rsid w:val="0000227F"/>
    <w:rsid w:val="00004E00"/>
    <w:rsid w:val="000114F0"/>
    <w:rsid w:val="00013BA0"/>
    <w:rsid w:val="00013E27"/>
    <w:rsid w:val="00020D93"/>
    <w:rsid w:val="00027D01"/>
    <w:rsid w:val="00036019"/>
    <w:rsid w:val="000436FD"/>
    <w:rsid w:val="0004628D"/>
    <w:rsid w:val="00056CD8"/>
    <w:rsid w:val="000645A6"/>
    <w:rsid w:val="00076351"/>
    <w:rsid w:val="00084F19"/>
    <w:rsid w:val="00085CD7"/>
    <w:rsid w:val="0009018A"/>
    <w:rsid w:val="00094BBA"/>
    <w:rsid w:val="00097F87"/>
    <w:rsid w:val="000A5AC3"/>
    <w:rsid w:val="000A651F"/>
    <w:rsid w:val="000B24A1"/>
    <w:rsid w:val="000B56AB"/>
    <w:rsid w:val="000B7F32"/>
    <w:rsid w:val="000C6272"/>
    <w:rsid w:val="000D3F84"/>
    <w:rsid w:val="000E1751"/>
    <w:rsid w:val="000E7142"/>
    <w:rsid w:val="000E7629"/>
    <w:rsid w:val="000F0518"/>
    <w:rsid w:val="000F261D"/>
    <w:rsid w:val="00117B81"/>
    <w:rsid w:val="00124EDE"/>
    <w:rsid w:val="001257FA"/>
    <w:rsid w:val="00146742"/>
    <w:rsid w:val="001577B0"/>
    <w:rsid w:val="00167379"/>
    <w:rsid w:val="00170DC6"/>
    <w:rsid w:val="00172DB1"/>
    <w:rsid w:val="00176677"/>
    <w:rsid w:val="00177673"/>
    <w:rsid w:val="0018100F"/>
    <w:rsid w:val="00181A01"/>
    <w:rsid w:val="00187F47"/>
    <w:rsid w:val="00196972"/>
    <w:rsid w:val="001972D9"/>
    <w:rsid w:val="001B0E9C"/>
    <w:rsid w:val="001B32FD"/>
    <w:rsid w:val="001C2C7F"/>
    <w:rsid w:val="001C4BD3"/>
    <w:rsid w:val="001C56D4"/>
    <w:rsid w:val="001C7233"/>
    <w:rsid w:val="001F0112"/>
    <w:rsid w:val="00203842"/>
    <w:rsid w:val="00233904"/>
    <w:rsid w:val="00261D3E"/>
    <w:rsid w:val="002718DD"/>
    <w:rsid w:val="002724B9"/>
    <w:rsid w:val="0028158B"/>
    <w:rsid w:val="00283015"/>
    <w:rsid w:val="002834C3"/>
    <w:rsid w:val="002B21C5"/>
    <w:rsid w:val="002B7B4C"/>
    <w:rsid w:val="002C25A2"/>
    <w:rsid w:val="002C6CA4"/>
    <w:rsid w:val="002F5137"/>
    <w:rsid w:val="0030480B"/>
    <w:rsid w:val="003067E6"/>
    <w:rsid w:val="00323B04"/>
    <w:rsid w:val="00326FC3"/>
    <w:rsid w:val="00333DF7"/>
    <w:rsid w:val="00345191"/>
    <w:rsid w:val="003454DB"/>
    <w:rsid w:val="0034617A"/>
    <w:rsid w:val="00350C04"/>
    <w:rsid w:val="003614B1"/>
    <w:rsid w:val="00361EAE"/>
    <w:rsid w:val="00367ECB"/>
    <w:rsid w:val="003709D1"/>
    <w:rsid w:val="00375275"/>
    <w:rsid w:val="003852B8"/>
    <w:rsid w:val="003A7AA0"/>
    <w:rsid w:val="003B0779"/>
    <w:rsid w:val="003C30CA"/>
    <w:rsid w:val="003C487A"/>
    <w:rsid w:val="003E071A"/>
    <w:rsid w:val="003E433F"/>
    <w:rsid w:val="003F173E"/>
    <w:rsid w:val="003F2445"/>
    <w:rsid w:val="003F280E"/>
    <w:rsid w:val="003F39C9"/>
    <w:rsid w:val="00420974"/>
    <w:rsid w:val="00420F4F"/>
    <w:rsid w:val="00430E80"/>
    <w:rsid w:val="004353DD"/>
    <w:rsid w:val="0044691D"/>
    <w:rsid w:val="00452559"/>
    <w:rsid w:val="0045422F"/>
    <w:rsid w:val="004577B7"/>
    <w:rsid w:val="0046520B"/>
    <w:rsid w:val="00490027"/>
    <w:rsid w:val="00492094"/>
    <w:rsid w:val="004A1FD4"/>
    <w:rsid w:val="004A2FCF"/>
    <w:rsid w:val="004C01EF"/>
    <w:rsid w:val="004C0BD0"/>
    <w:rsid w:val="004C2FD5"/>
    <w:rsid w:val="004E2025"/>
    <w:rsid w:val="004E47ED"/>
    <w:rsid w:val="004F26DD"/>
    <w:rsid w:val="004F3987"/>
    <w:rsid w:val="00500C3E"/>
    <w:rsid w:val="00507A99"/>
    <w:rsid w:val="005129DF"/>
    <w:rsid w:val="00513BD0"/>
    <w:rsid w:val="00517E50"/>
    <w:rsid w:val="00520AF9"/>
    <w:rsid w:val="005464F4"/>
    <w:rsid w:val="0055413F"/>
    <w:rsid w:val="005601F6"/>
    <w:rsid w:val="00562FFB"/>
    <w:rsid w:val="00574E68"/>
    <w:rsid w:val="00590DA9"/>
    <w:rsid w:val="005913C3"/>
    <w:rsid w:val="00596C9E"/>
    <w:rsid w:val="00596E12"/>
    <w:rsid w:val="005A6141"/>
    <w:rsid w:val="005B787E"/>
    <w:rsid w:val="005C747D"/>
    <w:rsid w:val="005D2E60"/>
    <w:rsid w:val="005D3905"/>
    <w:rsid w:val="005F411F"/>
    <w:rsid w:val="0060416B"/>
    <w:rsid w:val="006176BE"/>
    <w:rsid w:val="00626BA4"/>
    <w:rsid w:val="0063009D"/>
    <w:rsid w:val="0064493D"/>
    <w:rsid w:val="0064520E"/>
    <w:rsid w:val="006862BD"/>
    <w:rsid w:val="00691666"/>
    <w:rsid w:val="006A3FEB"/>
    <w:rsid w:val="006D0C95"/>
    <w:rsid w:val="006D510E"/>
    <w:rsid w:val="006D70E7"/>
    <w:rsid w:val="006F416F"/>
    <w:rsid w:val="00700617"/>
    <w:rsid w:val="00722F9C"/>
    <w:rsid w:val="0073177E"/>
    <w:rsid w:val="00743DA9"/>
    <w:rsid w:val="00765E38"/>
    <w:rsid w:val="0076627A"/>
    <w:rsid w:val="00767AB0"/>
    <w:rsid w:val="00776AC8"/>
    <w:rsid w:val="0077733E"/>
    <w:rsid w:val="0078122D"/>
    <w:rsid w:val="0079334B"/>
    <w:rsid w:val="007945E2"/>
    <w:rsid w:val="00794897"/>
    <w:rsid w:val="007B6BD4"/>
    <w:rsid w:val="007B76FE"/>
    <w:rsid w:val="007C216D"/>
    <w:rsid w:val="007C3A10"/>
    <w:rsid w:val="007C4200"/>
    <w:rsid w:val="007C422D"/>
    <w:rsid w:val="007C5B4F"/>
    <w:rsid w:val="007D1FD5"/>
    <w:rsid w:val="007D3BF2"/>
    <w:rsid w:val="007F0737"/>
    <w:rsid w:val="00807202"/>
    <w:rsid w:val="00811033"/>
    <w:rsid w:val="0081372B"/>
    <w:rsid w:val="008138FD"/>
    <w:rsid w:val="008218ED"/>
    <w:rsid w:val="00822161"/>
    <w:rsid w:val="0082471C"/>
    <w:rsid w:val="00831986"/>
    <w:rsid w:val="0084441E"/>
    <w:rsid w:val="00844488"/>
    <w:rsid w:val="008674B1"/>
    <w:rsid w:val="0088541F"/>
    <w:rsid w:val="00887D9C"/>
    <w:rsid w:val="008B34A6"/>
    <w:rsid w:val="008D3071"/>
    <w:rsid w:val="008D50CD"/>
    <w:rsid w:val="008D7C9C"/>
    <w:rsid w:val="008E40F7"/>
    <w:rsid w:val="008E4973"/>
    <w:rsid w:val="008E546A"/>
    <w:rsid w:val="008E596E"/>
    <w:rsid w:val="008F5704"/>
    <w:rsid w:val="00900DF4"/>
    <w:rsid w:val="009118B1"/>
    <w:rsid w:val="00920516"/>
    <w:rsid w:val="009248F5"/>
    <w:rsid w:val="00940E40"/>
    <w:rsid w:val="0094785B"/>
    <w:rsid w:val="00964615"/>
    <w:rsid w:val="00965A3F"/>
    <w:rsid w:val="0097044E"/>
    <w:rsid w:val="00973328"/>
    <w:rsid w:val="0099261F"/>
    <w:rsid w:val="009A15D0"/>
    <w:rsid w:val="009A6B76"/>
    <w:rsid w:val="009B021B"/>
    <w:rsid w:val="009B293F"/>
    <w:rsid w:val="009D605A"/>
    <w:rsid w:val="009E4DC5"/>
    <w:rsid w:val="009F4DCB"/>
    <w:rsid w:val="009F5DAF"/>
    <w:rsid w:val="00A1485A"/>
    <w:rsid w:val="00A229F5"/>
    <w:rsid w:val="00A231FF"/>
    <w:rsid w:val="00A24B81"/>
    <w:rsid w:val="00A437C9"/>
    <w:rsid w:val="00A46752"/>
    <w:rsid w:val="00A51079"/>
    <w:rsid w:val="00A51B7D"/>
    <w:rsid w:val="00A52BB8"/>
    <w:rsid w:val="00A70C25"/>
    <w:rsid w:val="00A72396"/>
    <w:rsid w:val="00A73273"/>
    <w:rsid w:val="00A84C15"/>
    <w:rsid w:val="00A8581B"/>
    <w:rsid w:val="00A87B15"/>
    <w:rsid w:val="00AB6E4C"/>
    <w:rsid w:val="00AC035B"/>
    <w:rsid w:val="00AC5798"/>
    <w:rsid w:val="00AC7CB1"/>
    <w:rsid w:val="00AD6971"/>
    <w:rsid w:val="00AE06BD"/>
    <w:rsid w:val="00AE1C01"/>
    <w:rsid w:val="00AE3262"/>
    <w:rsid w:val="00AE5FFE"/>
    <w:rsid w:val="00AF035D"/>
    <w:rsid w:val="00B033CA"/>
    <w:rsid w:val="00B16011"/>
    <w:rsid w:val="00B338F1"/>
    <w:rsid w:val="00B37B32"/>
    <w:rsid w:val="00B40E22"/>
    <w:rsid w:val="00B45E51"/>
    <w:rsid w:val="00B5173B"/>
    <w:rsid w:val="00B61327"/>
    <w:rsid w:val="00B70BA7"/>
    <w:rsid w:val="00B80280"/>
    <w:rsid w:val="00B92203"/>
    <w:rsid w:val="00B96B0C"/>
    <w:rsid w:val="00BA1887"/>
    <w:rsid w:val="00BA2381"/>
    <w:rsid w:val="00BA78AC"/>
    <w:rsid w:val="00BB783A"/>
    <w:rsid w:val="00BC335D"/>
    <w:rsid w:val="00C06CDA"/>
    <w:rsid w:val="00C12F5E"/>
    <w:rsid w:val="00C14E4D"/>
    <w:rsid w:val="00C2070C"/>
    <w:rsid w:val="00C318FF"/>
    <w:rsid w:val="00C4290C"/>
    <w:rsid w:val="00C44E70"/>
    <w:rsid w:val="00C47259"/>
    <w:rsid w:val="00C51271"/>
    <w:rsid w:val="00C631B9"/>
    <w:rsid w:val="00C73E21"/>
    <w:rsid w:val="00C8387D"/>
    <w:rsid w:val="00C92E20"/>
    <w:rsid w:val="00C95D85"/>
    <w:rsid w:val="00C96A69"/>
    <w:rsid w:val="00CB0637"/>
    <w:rsid w:val="00CC1EA3"/>
    <w:rsid w:val="00CC47D1"/>
    <w:rsid w:val="00CD675E"/>
    <w:rsid w:val="00CE75C5"/>
    <w:rsid w:val="00CF2B5A"/>
    <w:rsid w:val="00D02568"/>
    <w:rsid w:val="00D061EA"/>
    <w:rsid w:val="00D157BE"/>
    <w:rsid w:val="00D173DF"/>
    <w:rsid w:val="00D51CEC"/>
    <w:rsid w:val="00D60151"/>
    <w:rsid w:val="00D63AFC"/>
    <w:rsid w:val="00D678AC"/>
    <w:rsid w:val="00D745EB"/>
    <w:rsid w:val="00D84EAD"/>
    <w:rsid w:val="00D92EB5"/>
    <w:rsid w:val="00D94993"/>
    <w:rsid w:val="00D96EE9"/>
    <w:rsid w:val="00DB3988"/>
    <w:rsid w:val="00DB6EA8"/>
    <w:rsid w:val="00DC15BD"/>
    <w:rsid w:val="00DC16BB"/>
    <w:rsid w:val="00DC5C99"/>
    <w:rsid w:val="00DD0C41"/>
    <w:rsid w:val="00DD2B05"/>
    <w:rsid w:val="00DD5325"/>
    <w:rsid w:val="00DD79EE"/>
    <w:rsid w:val="00DF2C7A"/>
    <w:rsid w:val="00DF54F0"/>
    <w:rsid w:val="00E01FC1"/>
    <w:rsid w:val="00E03AE7"/>
    <w:rsid w:val="00E0410D"/>
    <w:rsid w:val="00E136EF"/>
    <w:rsid w:val="00E24EE8"/>
    <w:rsid w:val="00E317EF"/>
    <w:rsid w:val="00E36DB3"/>
    <w:rsid w:val="00E4111B"/>
    <w:rsid w:val="00E4515B"/>
    <w:rsid w:val="00E46807"/>
    <w:rsid w:val="00E6450E"/>
    <w:rsid w:val="00E66A5C"/>
    <w:rsid w:val="00E67017"/>
    <w:rsid w:val="00E86C0F"/>
    <w:rsid w:val="00E967BB"/>
    <w:rsid w:val="00EA0869"/>
    <w:rsid w:val="00EB5F36"/>
    <w:rsid w:val="00ED5FB6"/>
    <w:rsid w:val="00EE096C"/>
    <w:rsid w:val="00EE4670"/>
    <w:rsid w:val="00EE74BE"/>
    <w:rsid w:val="00EF1D92"/>
    <w:rsid w:val="00EF7C87"/>
    <w:rsid w:val="00F02B27"/>
    <w:rsid w:val="00F24541"/>
    <w:rsid w:val="00F343FD"/>
    <w:rsid w:val="00F45C52"/>
    <w:rsid w:val="00F57134"/>
    <w:rsid w:val="00F579FF"/>
    <w:rsid w:val="00F57BBB"/>
    <w:rsid w:val="00F64757"/>
    <w:rsid w:val="00F6543E"/>
    <w:rsid w:val="00F7669F"/>
    <w:rsid w:val="00F852BB"/>
    <w:rsid w:val="00F90FA1"/>
    <w:rsid w:val="00FA1D06"/>
    <w:rsid w:val="00FA5221"/>
    <w:rsid w:val="00FB1F3A"/>
    <w:rsid w:val="00FC4EF6"/>
    <w:rsid w:val="00FC62B4"/>
    <w:rsid w:val="00FC7E03"/>
    <w:rsid w:val="00FD1BAB"/>
    <w:rsid w:val="00FD59F5"/>
    <w:rsid w:val="00FD645A"/>
    <w:rsid w:val="00FD6EF6"/>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DCB34"/>
  <w15:docId w15:val="{A83F340B-8F75-493C-B5BB-F6E59ABB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rsid w:val="001C7233"/>
    <w:pPr>
      <w:keepNext/>
      <w:keepLines/>
      <w:spacing w:before="80"/>
      <w:contextualSpacing/>
      <w:outlineLvl w:val="2"/>
    </w:pPr>
    <w:rPr>
      <w:b/>
      <w:color w:val="434343"/>
      <w:sz w:val="24"/>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2B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77B7"/>
    <w:rPr>
      <w:b/>
      <w:bCs/>
    </w:rPr>
  </w:style>
  <w:style w:type="character" w:customStyle="1" w:styleId="CommentSubjectChar">
    <w:name w:val="Comment Subject Char"/>
    <w:basedOn w:val="CommentTextChar"/>
    <w:link w:val="CommentSubject"/>
    <w:uiPriority w:val="99"/>
    <w:semiHidden/>
    <w:rsid w:val="004577B7"/>
    <w:rPr>
      <w:b/>
      <w:bCs/>
      <w:sz w:val="20"/>
      <w:szCs w:val="20"/>
    </w:rPr>
  </w:style>
  <w:style w:type="character" w:styleId="Hyperlink">
    <w:name w:val="Hyperlink"/>
    <w:basedOn w:val="DefaultParagraphFont"/>
    <w:uiPriority w:val="99"/>
    <w:unhideWhenUsed/>
    <w:rsid w:val="00BC335D"/>
    <w:rPr>
      <w:color w:val="0563C1" w:themeColor="hyperlink"/>
      <w:u w:val="single"/>
    </w:rPr>
  </w:style>
  <w:style w:type="paragraph" w:styleId="ListParagraph">
    <w:name w:val="List Paragraph"/>
    <w:basedOn w:val="Normal"/>
    <w:uiPriority w:val="34"/>
    <w:qFormat/>
    <w:rsid w:val="007C422D"/>
    <w:pPr>
      <w:ind w:left="720"/>
      <w:contextualSpacing/>
    </w:pPr>
  </w:style>
  <w:style w:type="paragraph" w:styleId="Header">
    <w:name w:val="header"/>
    <w:basedOn w:val="Normal"/>
    <w:link w:val="HeaderChar"/>
    <w:uiPriority w:val="99"/>
    <w:unhideWhenUsed/>
    <w:rsid w:val="000B56AB"/>
    <w:pPr>
      <w:tabs>
        <w:tab w:val="center" w:pos="4513"/>
        <w:tab w:val="right" w:pos="9026"/>
      </w:tabs>
      <w:spacing w:line="240" w:lineRule="auto"/>
    </w:pPr>
  </w:style>
  <w:style w:type="character" w:customStyle="1" w:styleId="HeaderChar">
    <w:name w:val="Header Char"/>
    <w:basedOn w:val="DefaultParagraphFont"/>
    <w:link w:val="Header"/>
    <w:uiPriority w:val="99"/>
    <w:rsid w:val="000B56AB"/>
  </w:style>
  <w:style w:type="paragraph" w:styleId="Footer">
    <w:name w:val="footer"/>
    <w:basedOn w:val="Normal"/>
    <w:link w:val="FooterChar"/>
    <w:uiPriority w:val="99"/>
    <w:unhideWhenUsed/>
    <w:rsid w:val="000B56AB"/>
    <w:pPr>
      <w:tabs>
        <w:tab w:val="center" w:pos="4513"/>
        <w:tab w:val="right" w:pos="9026"/>
      </w:tabs>
      <w:spacing w:line="240" w:lineRule="auto"/>
    </w:pPr>
  </w:style>
  <w:style w:type="character" w:customStyle="1" w:styleId="FooterChar">
    <w:name w:val="Footer Char"/>
    <w:basedOn w:val="DefaultParagraphFont"/>
    <w:link w:val="Footer"/>
    <w:uiPriority w:val="99"/>
    <w:rsid w:val="000B56AB"/>
  </w:style>
  <w:style w:type="paragraph" w:styleId="TOCHeading">
    <w:name w:val="TOC Heading"/>
    <w:basedOn w:val="Heading1"/>
    <w:next w:val="Normal"/>
    <w:uiPriority w:val="39"/>
    <w:unhideWhenUsed/>
    <w:qFormat/>
    <w:rsid w:val="00B70BA7"/>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AU" w:eastAsia="en-AU"/>
    </w:rPr>
  </w:style>
  <w:style w:type="paragraph" w:styleId="TOC1">
    <w:name w:val="toc 1"/>
    <w:basedOn w:val="Normal"/>
    <w:next w:val="Normal"/>
    <w:autoRedefine/>
    <w:uiPriority w:val="39"/>
    <w:unhideWhenUsed/>
    <w:rsid w:val="008E4973"/>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F90FA1"/>
    <w:pPr>
      <w:tabs>
        <w:tab w:val="right" w:pos="9350"/>
      </w:tabs>
      <w:spacing w:before="120"/>
      <w:ind w:left="220"/>
      <w:jc w:val="both"/>
    </w:pPr>
    <w:rPr>
      <w:rFonts w:ascii="DejaVu Sans" w:hAnsi="DejaVu Sans" w:cs="DejaVu Sans"/>
      <w:b/>
      <w:iCs/>
      <w:noProof/>
      <w:color w:val="2E74B5" w:themeColor="accent1" w:themeShade="BF"/>
      <w:sz w:val="24"/>
      <w:szCs w:val="24"/>
    </w:rPr>
  </w:style>
  <w:style w:type="paragraph" w:styleId="TOC3">
    <w:name w:val="toc 3"/>
    <w:basedOn w:val="Normal"/>
    <w:next w:val="Normal"/>
    <w:autoRedefine/>
    <w:uiPriority w:val="39"/>
    <w:unhideWhenUsed/>
    <w:rsid w:val="00B70BA7"/>
    <w:pPr>
      <w:ind w:left="440"/>
    </w:pPr>
    <w:rPr>
      <w:rFonts w:asciiTheme="minorHAnsi" w:hAnsiTheme="minorHAnsi"/>
      <w:sz w:val="20"/>
      <w:szCs w:val="20"/>
    </w:rPr>
  </w:style>
  <w:style w:type="character" w:styleId="FollowedHyperlink">
    <w:name w:val="FollowedHyperlink"/>
    <w:basedOn w:val="DefaultParagraphFont"/>
    <w:uiPriority w:val="99"/>
    <w:semiHidden/>
    <w:unhideWhenUsed/>
    <w:rsid w:val="0055413F"/>
    <w:rPr>
      <w:color w:val="954F72" w:themeColor="followedHyperlink"/>
      <w:u w:val="single"/>
    </w:rPr>
  </w:style>
  <w:style w:type="paragraph" w:styleId="TOC4">
    <w:name w:val="toc 4"/>
    <w:basedOn w:val="Normal"/>
    <w:next w:val="Normal"/>
    <w:autoRedefine/>
    <w:uiPriority w:val="39"/>
    <w:unhideWhenUsed/>
    <w:rsid w:val="000B24A1"/>
    <w:pPr>
      <w:ind w:left="660"/>
    </w:pPr>
    <w:rPr>
      <w:rFonts w:asciiTheme="minorHAnsi" w:hAnsiTheme="minorHAnsi"/>
      <w:sz w:val="20"/>
      <w:szCs w:val="20"/>
    </w:rPr>
  </w:style>
  <w:style w:type="paragraph" w:styleId="TOC5">
    <w:name w:val="toc 5"/>
    <w:basedOn w:val="Normal"/>
    <w:next w:val="Normal"/>
    <w:autoRedefine/>
    <w:uiPriority w:val="39"/>
    <w:unhideWhenUsed/>
    <w:rsid w:val="000B24A1"/>
    <w:pPr>
      <w:ind w:left="880"/>
    </w:pPr>
    <w:rPr>
      <w:rFonts w:asciiTheme="minorHAnsi" w:hAnsiTheme="minorHAnsi"/>
      <w:sz w:val="20"/>
      <w:szCs w:val="20"/>
    </w:rPr>
  </w:style>
  <w:style w:type="paragraph" w:styleId="TOC6">
    <w:name w:val="toc 6"/>
    <w:basedOn w:val="Normal"/>
    <w:next w:val="Normal"/>
    <w:autoRedefine/>
    <w:uiPriority w:val="39"/>
    <w:unhideWhenUsed/>
    <w:rsid w:val="000B24A1"/>
    <w:pPr>
      <w:ind w:left="1100"/>
    </w:pPr>
    <w:rPr>
      <w:rFonts w:asciiTheme="minorHAnsi" w:hAnsiTheme="minorHAnsi"/>
      <w:sz w:val="20"/>
      <w:szCs w:val="20"/>
    </w:rPr>
  </w:style>
  <w:style w:type="paragraph" w:styleId="TOC7">
    <w:name w:val="toc 7"/>
    <w:basedOn w:val="Normal"/>
    <w:next w:val="Normal"/>
    <w:autoRedefine/>
    <w:uiPriority w:val="39"/>
    <w:unhideWhenUsed/>
    <w:rsid w:val="000B24A1"/>
    <w:pPr>
      <w:ind w:left="1320"/>
    </w:pPr>
    <w:rPr>
      <w:rFonts w:asciiTheme="minorHAnsi" w:hAnsiTheme="minorHAnsi"/>
      <w:sz w:val="20"/>
      <w:szCs w:val="20"/>
    </w:rPr>
  </w:style>
  <w:style w:type="paragraph" w:styleId="TOC8">
    <w:name w:val="toc 8"/>
    <w:basedOn w:val="Normal"/>
    <w:next w:val="Normal"/>
    <w:autoRedefine/>
    <w:uiPriority w:val="39"/>
    <w:unhideWhenUsed/>
    <w:rsid w:val="000B24A1"/>
    <w:pPr>
      <w:ind w:left="1540"/>
    </w:pPr>
    <w:rPr>
      <w:rFonts w:asciiTheme="minorHAnsi" w:hAnsiTheme="minorHAnsi"/>
      <w:sz w:val="20"/>
      <w:szCs w:val="20"/>
    </w:rPr>
  </w:style>
  <w:style w:type="paragraph" w:styleId="TOC9">
    <w:name w:val="toc 9"/>
    <w:basedOn w:val="Normal"/>
    <w:next w:val="Normal"/>
    <w:autoRedefine/>
    <w:uiPriority w:val="39"/>
    <w:unhideWhenUsed/>
    <w:rsid w:val="000B24A1"/>
    <w:pPr>
      <w:ind w:left="1760"/>
    </w:pPr>
    <w:rPr>
      <w:rFonts w:asciiTheme="minorHAnsi" w:hAnsiTheme="minorHAnsi"/>
      <w:sz w:val="20"/>
      <w:szCs w:val="20"/>
    </w:rPr>
  </w:style>
  <w:style w:type="paragraph" w:styleId="NormalWeb">
    <w:name w:val="Normal (Web)"/>
    <w:basedOn w:val="Normal"/>
    <w:uiPriority w:val="99"/>
    <w:semiHidden/>
    <w:unhideWhenUsed/>
    <w:rsid w:val="0081372B"/>
    <w:pPr>
      <w:spacing w:before="100" w:beforeAutospacing="1" w:after="100" w:afterAutospacing="1" w:line="270" w:lineRule="atLeast"/>
    </w:pPr>
    <w:rPr>
      <w:rFonts w:eastAsia="Times New Roman"/>
      <w:color w:val="auto"/>
      <w:sz w:val="20"/>
      <w:szCs w:val="20"/>
      <w:lang w:val="en-AU" w:eastAsia="en-AU"/>
    </w:rPr>
  </w:style>
  <w:style w:type="character" w:customStyle="1" w:styleId="Heading3Char">
    <w:name w:val="Heading 3 Char"/>
    <w:basedOn w:val="DefaultParagraphFont"/>
    <w:link w:val="Heading3"/>
    <w:rsid w:val="00BB783A"/>
    <w:rPr>
      <w:b/>
      <w:color w:val="434343"/>
      <w:sz w:val="24"/>
      <w:szCs w:val="28"/>
    </w:rPr>
  </w:style>
  <w:style w:type="character" w:customStyle="1" w:styleId="Heading2Char">
    <w:name w:val="Heading 2 Char"/>
    <w:basedOn w:val="DefaultParagraphFont"/>
    <w:link w:val="Heading2"/>
    <w:rsid w:val="003067E6"/>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6532">
      <w:bodyDiv w:val="1"/>
      <w:marLeft w:val="0"/>
      <w:marRight w:val="0"/>
      <w:marTop w:val="0"/>
      <w:marBottom w:val="0"/>
      <w:divBdr>
        <w:top w:val="none" w:sz="0" w:space="0" w:color="auto"/>
        <w:left w:val="none" w:sz="0" w:space="0" w:color="auto"/>
        <w:bottom w:val="none" w:sz="0" w:space="0" w:color="auto"/>
        <w:right w:val="none" w:sz="0" w:space="0" w:color="auto"/>
      </w:divBdr>
    </w:div>
    <w:div w:id="587815632">
      <w:bodyDiv w:val="1"/>
      <w:marLeft w:val="0"/>
      <w:marRight w:val="0"/>
      <w:marTop w:val="0"/>
      <w:marBottom w:val="0"/>
      <w:divBdr>
        <w:top w:val="none" w:sz="0" w:space="0" w:color="auto"/>
        <w:left w:val="none" w:sz="0" w:space="0" w:color="auto"/>
        <w:bottom w:val="none" w:sz="0" w:space="0" w:color="auto"/>
        <w:right w:val="none" w:sz="0" w:space="0" w:color="auto"/>
      </w:divBdr>
    </w:div>
    <w:div w:id="917132074">
      <w:bodyDiv w:val="1"/>
      <w:marLeft w:val="0"/>
      <w:marRight w:val="0"/>
      <w:marTop w:val="0"/>
      <w:marBottom w:val="0"/>
      <w:divBdr>
        <w:top w:val="none" w:sz="0" w:space="0" w:color="auto"/>
        <w:left w:val="none" w:sz="0" w:space="0" w:color="auto"/>
        <w:bottom w:val="none" w:sz="0" w:space="0" w:color="auto"/>
        <w:right w:val="none" w:sz="0" w:space="0" w:color="auto"/>
      </w:divBdr>
    </w:div>
    <w:div w:id="999507928">
      <w:bodyDiv w:val="1"/>
      <w:marLeft w:val="0"/>
      <w:marRight w:val="0"/>
      <w:marTop w:val="0"/>
      <w:marBottom w:val="0"/>
      <w:divBdr>
        <w:top w:val="none" w:sz="0" w:space="0" w:color="auto"/>
        <w:left w:val="none" w:sz="0" w:space="0" w:color="auto"/>
        <w:bottom w:val="none" w:sz="0" w:space="0" w:color="auto"/>
        <w:right w:val="none" w:sz="0" w:space="0" w:color="auto"/>
      </w:divBdr>
      <w:divsChild>
        <w:div w:id="709308751">
          <w:marLeft w:val="0"/>
          <w:marRight w:val="0"/>
          <w:marTop w:val="0"/>
          <w:marBottom w:val="0"/>
          <w:divBdr>
            <w:top w:val="none" w:sz="0" w:space="0" w:color="auto"/>
            <w:left w:val="none" w:sz="0" w:space="0" w:color="auto"/>
            <w:bottom w:val="none" w:sz="0" w:space="0" w:color="auto"/>
            <w:right w:val="none" w:sz="0" w:space="0" w:color="auto"/>
          </w:divBdr>
        </w:div>
        <w:div w:id="1211570563">
          <w:marLeft w:val="0"/>
          <w:marRight w:val="0"/>
          <w:marTop w:val="0"/>
          <w:marBottom w:val="0"/>
          <w:divBdr>
            <w:top w:val="none" w:sz="0" w:space="0" w:color="auto"/>
            <w:left w:val="none" w:sz="0" w:space="0" w:color="auto"/>
            <w:bottom w:val="none" w:sz="0" w:space="0" w:color="auto"/>
            <w:right w:val="none" w:sz="0" w:space="0" w:color="auto"/>
          </w:divBdr>
        </w:div>
        <w:div w:id="1723868390">
          <w:marLeft w:val="0"/>
          <w:marRight w:val="0"/>
          <w:marTop w:val="0"/>
          <w:marBottom w:val="0"/>
          <w:divBdr>
            <w:top w:val="none" w:sz="0" w:space="0" w:color="auto"/>
            <w:left w:val="none" w:sz="0" w:space="0" w:color="auto"/>
            <w:bottom w:val="none" w:sz="0" w:space="0" w:color="auto"/>
            <w:right w:val="none" w:sz="0" w:space="0" w:color="auto"/>
          </w:divBdr>
        </w:div>
      </w:divsChild>
    </w:div>
    <w:div w:id="1493714934">
      <w:bodyDiv w:val="1"/>
      <w:marLeft w:val="0"/>
      <w:marRight w:val="0"/>
      <w:marTop w:val="0"/>
      <w:marBottom w:val="0"/>
      <w:divBdr>
        <w:top w:val="none" w:sz="0" w:space="0" w:color="auto"/>
        <w:left w:val="none" w:sz="0" w:space="0" w:color="auto"/>
        <w:bottom w:val="none" w:sz="0" w:space="0" w:color="auto"/>
        <w:right w:val="none" w:sz="0" w:space="0" w:color="auto"/>
      </w:divBdr>
    </w:div>
    <w:div w:id="1740901277">
      <w:bodyDiv w:val="1"/>
      <w:marLeft w:val="0"/>
      <w:marRight w:val="0"/>
      <w:marTop w:val="0"/>
      <w:marBottom w:val="0"/>
      <w:divBdr>
        <w:top w:val="none" w:sz="0" w:space="0" w:color="auto"/>
        <w:left w:val="none" w:sz="0" w:space="0" w:color="auto"/>
        <w:bottom w:val="none" w:sz="0" w:space="0" w:color="auto"/>
        <w:right w:val="none" w:sz="0" w:space="0" w:color="auto"/>
      </w:divBdr>
    </w:div>
    <w:div w:id="1752004229">
      <w:bodyDiv w:val="1"/>
      <w:marLeft w:val="0"/>
      <w:marRight w:val="0"/>
      <w:marTop w:val="0"/>
      <w:marBottom w:val="0"/>
      <w:divBdr>
        <w:top w:val="none" w:sz="0" w:space="0" w:color="auto"/>
        <w:left w:val="none" w:sz="0" w:space="0" w:color="auto"/>
        <w:bottom w:val="none" w:sz="0" w:space="0" w:color="auto"/>
        <w:right w:val="none" w:sz="0" w:space="0" w:color="auto"/>
      </w:divBdr>
    </w:div>
    <w:div w:id="1825774664">
      <w:bodyDiv w:val="1"/>
      <w:marLeft w:val="0"/>
      <w:marRight w:val="0"/>
      <w:marTop w:val="0"/>
      <w:marBottom w:val="0"/>
      <w:divBdr>
        <w:top w:val="none" w:sz="0" w:space="0" w:color="auto"/>
        <w:left w:val="none" w:sz="0" w:space="0" w:color="auto"/>
        <w:bottom w:val="none" w:sz="0" w:space="0" w:color="auto"/>
        <w:right w:val="none" w:sz="0" w:space="0" w:color="auto"/>
      </w:divBdr>
    </w:div>
    <w:div w:id="20768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Bills_Legislation/Bills_Search_Results/Result?bId=r583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copyrigh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opyright.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arlinfo.aph.gov.au/parlInfo/download/legislation/ems/r5832_ems_6286f247-9092-48bd-aac1-d771a2c7ee30/upload_pdf/625196.pdf;fileType=application%2Fpdf" TargetMode="External"/><Relationship Id="rId4" Type="http://schemas.openxmlformats.org/officeDocument/2006/relationships/settings" Target="settings.xml"/><Relationship Id="rId9" Type="http://schemas.openxmlformats.org/officeDocument/2006/relationships/hyperlink" Target="http://www.unesco.org/new/en/communication-and-information/resources/publications-and-communication-materials/publications/full-list/guidelines-for-the-preservation-of-digital-herita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libcopyright.org.au"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125C-73A8-492E-8E41-C60E4668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1305</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National Library of Australia</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Jessica Coates</cp:lastModifiedBy>
  <cp:revision>3</cp:revision>
  <cp:lastPrinted>2016-07-05T15:36:00Z</cp:lastPrinted>
  <dcterms:created xsi:type="dcterms:W3CDTF">2018-01-09T05:41:00Z</dcterms:created>
  <dcterms:modified xsi:type="dcterms:W3CDTF">2018-01-09T06:22:00Z</dcterms:modified>
</cp:coreProperties>
</file>